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A1A83" w:rsidTr="004A1A83">
        <w:trPr>
          <w:tblCellSpacing w:w="0" w:type="dxa"/>
        </w:trPr>
        <w:tc>
          <w:tcPr>
            <w:tcW w:w="0" w:type="auto"/>
            <w:shd w:val="clear" w:color="auto" w:fill="FFFFFF"/>
          </w:tcPr>
          <w:tbl>
            <w:tblPr>
              <w:tblW w:w="8509" w:type="dxa"/>
              <w:jc w:val="center"/>
              <w:tblCellSpacing w:w="0" w:type="dxa"/>
              <w:tblCellMar>
                <w:left w:w="0" w:type="dxa"/>
                <w:right w:w="0" w:type="dxa"/>
              </w:tblCellMar>
              <w:tblLook w:val="04A0" w:firstRow="1" w:lastRow="0" w:firstColumn="1" w:lastColumn="0" w:noHBand="0" w:noVBand="1"/>
            </w:tblPr>
            <w:tblGrid>
              <w:gridCol w:w="8509"/>
            </w:tblGrid>
            <w:tr w:rsidR="004A1A83">
              <w:trPr>
                <w:tblCellSpacing w:w="0" w:type="dxa"/>
                <w:jc w:val="center"/>
              </w:trPr>
              <w:tc>
                <w:tcPr>
                  <w:tcW w:w="0" w:type="auto"/>
                  <w:tcMar>
                    <w:top w:w="3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509"/>
                  </w:tblGrid>
                  <w:tr w:rsidR="004A1A83">
                    <w:trPr>
                      <w:tblCellSpacing w:w="0" w:type="dxa"/>
                    </w:trPr>
                    <w:tc>
                      <w:tcPr>
                        <w:tcW w:w="0" w:type="auto"/>
                        <w:tcMar>
                          <w:top w:w="75" w:type="dxa"/>
                          <w:left w:w="0" w:type="dxa"/>
                          <w:bottom w:w="75" w:type="dxa"/>
                          <w:right w:w="0" w:type="dxa"/>
                        </w:tcMar>
                        <w:vAlign w:val="center"/>
                        <w:hideMark/>
                      </w:tcPr>
                      <w:p w:rsidR="004A1A83" w:rsidRDefault="004A1A83"/>
                    </w:tc>
                  </w:tr>
                  <w:tr w:rsidR="004A1A83">
                    <w:trPr>
                      <w:tblCellSpacing w:w="0" w:type="dxa"/>
                    </w:trPr>
                    <w:tc>
                      <w:tcPr>
                        <w:tcW w:w="0" w:type="auto"/>
                        <w:tcMar>
                          <w:top w:w="75" w:type="dxa"/>
                          <w:left w:w="0" w:type="dxa"/>
                          <w:bottom w:w="75" w:type="dxa"/>
                          <w:right w:w="0" w:type="dxa"/>
                        </w:tcMar>
                        <w:vAlign w:val="center"/>
                        <w:hideMark/>
                      </w:tcPr>
                      <w:p w:rsidR="004A1A83" w:rsidRDefault="004A1A83">
                        <w:pPr>
                          <w:jc w:val="center"/>
                          <w:rPr>
                            <w:rFonts w:ascii="Arial" w:eastAsia="Times New Roman" w:hAnsi="Arial" w:cs="Arial"/>
                            <w:color w:val="9C9D9F"/>
                            <w:sz w:val="15"/>
                            <w:szCs w:val="15"/>
                          </w:rPr>
                        </w:pPr>
                      </w:p>
                    </w:tc>
                  </w:tr>
                </w:tbl>
                <w:p w:rsidR="004A1A83" w:rsidRDefault="004A1A83">
                  <w:pPr>
                    <w:rPr>
                      <w:rFonts w:eastAsia="Times New Roman"/>
                      <w:sz w:val="20"/>
                      <w:szCs w:val="20"/>
                    </w:rPr>
                  </w:pPr>
                </w:p>
              </w:tc>
            </w:tr>
          </w:tbl>
          <w:p w:rsidR="004A1A83" w:rsidRDefault="004A1A83">
            <w:pPr>
              <w:jc w:val="center"/>
              <w:rPr>
                <w:rFonts w:ascii="Arial" w:eastAsia="Times New Roman" w:hAnsi="Arial" w:cs="Arial"/>
                <w:vanish/>
                <w:color w:val="58585A"/>
                <w:sz w:val="17"/>
                <w:szCs w:val="17"/>
              </w:rPr>
            </w:pPr>
          </w:p>
          <w:tbl>
            <w:tblPr>
              <w:tblW w:w="5000" w:type="pct"/>
              <w:jc w:val="center"/>
              <w:tblCellSpacing w:w="0" w:type="dxa"/>
              <w:shd w:val="clear" w:color="auto" w:fill="2079B5"/>
              <w:tblCellMar>
                <w:left w:w="0" w:type="dxa"/>
                <w:right w:w="0" w:type="dxa"/>
              </w:tblCellMar>
              <w:tblLook w:val="04A0" w:firstRow="1" w:lastRow="0" w:firstColumn="1" w:lastColumn="0" w:noHBand="0" w:noVBand="1"/>
            </w:tblPr>
            <w:tblGrid>
              <w:gridCol w:w="6"/>
              <w:gridCol w:w="9060"/>
              <w:gridCol w:w="6"/>
            </w:tblGrid>
            <w:tr w:rsidR="004A1A83">
              <w:trPr>
                <w:tblCellSpacing w:w="0" w:type="dxa"/>
                <w:jc w:val="center"/>
                <w:hidden/>
              </w:trPr>
              <w:tc>
                <w:tcPr>
                  <w:tcW w:w="2500" w:type="pct"/>
                  <w:shd w:val="clear" w:color="auto" w:fill="2079B5"/>
                  <w:hideMark/>
                </w:tcPr>
                <w:p w:rsidR="004A1A83" w:rsidRDefault="004A1A83">
                  <w:pPr>
                    <w:rPr>
                      <w:rFonts w:ascii="Arial" w:eastAsia="Times New Roman" w:hAnsi="Arial" w:cs="Arial"/>
                      <w:vanish/>
                      <w:color w:val="58585A"/>
                      <w:sz w:val="17"/>
                      <w:szCs w:val="17"/>
                    </w:rPr>
                  </w:pPr>
                </w:p>
              </w:tc>
              <w:tc>
                <w:tcPr>
                  <w:tcW w:w="0" w:type="auto"/>
                  <w:shd w:val="clear" w:color="auto" w:fill="2079B5"/>
                  <w:hideMark/>
                </w:tcPr>
                <w:tbl>
                  <w:tblPr>
                    <w:tblW w:w="8509" w:type="dxa"/>
                    <w:jc w:val="center"/>
                    <w:tblCellSpacing w:w="0" w:type="dxa"/>
                    <w:tblCellMar>
                      <w:left w:w="0" w:type="dxa"/>
                      <w:right w:w="0" w:type="dxa"/>
                    </w:tblCellMar>
                    <w:tblLook w:val="04A0" w:firstRow="1" w:lastRow="0" w:firstColumn="1" w:lastColumn="0" w:noHBand="0" w:noVBand="1"/>
                  </w:tblPr>
                  <w:tblGrid>
                    <w:gridCol w:w="9060"/>
                  </w:tblGrid>
                  <w:tr w:rsidR="004A1A83">
                    <w:trPr>
                      <w:tblCellSpacing w:w="0" w:type="dxa"/>
                      <w:jc w:val="center"/>
                    </w:trPr>
                    <w:tc>
                      <w:tcPr>
                        <w:tcW w:w="0" w:type="auto"/>
                        <w:hideMark/>
                      </w:tcPr>
                      <w:p w:rsidR="004A1A83" w:rsidRDefault="004A1A83">
                        <w:pPr>
                          <w:spacing w:line="0" w:lineRule="atLeast"/>
                          <w:rPr>
                            <w:rFonts w:ascii="Arial" w:eastAsia="Times New Roman" w:hAnsi="Arial" w:cs="Arial"/>
                            <w:color w:val="58585A"/>
                            <w:sz w:val="17"/>
                            <w:szCs w:val="17"/>
                          </w:rPr>
                        </w:pPr>
                        <w:r>
                          <w:rPr>
                            <w:rFonts w:ascii="Arial" w:eastAsia="Times New Roman" w:hAnsi="Arial" w:cs="Arial"/>
                            <w:noProof/>
                            <w:color w:val="8A0066"/>
                            <w:sz w:val="17"/>
                            <w:szCs w:val="17"/>
                          </w:rPr>
                          <w:drawing>
                            <wp:inline distT="0" distB="0" distL="0" distR="0">
                              <wp:extent cx="5769033" cy="2663586"/>
                              <wp:effectExtent l="0" t="0" r="3175" b="3810"/>
                              <wp:docPr id="8" name="Afbeelding 8" descr="ECBO Signaal">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O Signa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352" cy="2678969"/>
                                      </a:xfrm>
                                      <a:prstGeom prst="rect">
                                        <a:avLst/>
                                      </a:prstGeom>
                                      <a:noFill/>
                                      <a:ln>
                                        <a:noFill/>
                                      </a:ln>
                                    </pic:spPr>
                                  </pic:pic>
                                </a:graphicData>
                              </a:graphic>
                            </wp:inline>
                          </w:drawing>
                        </w:r>
                      </w:p>
                    </w:tc>
                  </w:tr>
                </w:tbl>
                <w:p w:rsidR="004A1A83" w:rsidRDefault="004A1A83">
                  <w:pPr>
                    <w:jc w:val="center"/>
                    <w:rPr>
                      <w:rFonts w:eastAsia="Times New Roman"/>
                      <w:sz w:val="20"/>
                      <w:szCs w:val="20"/>
                    </w:rPr>
                  </w:pPr>
                </w:p>
              </w:tc>
              <w:tc>
                <w:tcPr>
                  <w:tcW w:w="2500" w:type="pct"/>
                  <w:shd w:val="clear" w:color="auto" w:fill="2079B5"/>
                  <w:hideMark/>
                </w:tcPr>
                <w:p w:rsidR="004A1A83" w:rsidRDefault="004A1A83">
                  <w:pPr>
                    <w:rPr>
                      <w:rFonts w:eastAsia="Times New Roman"/>
                      <w:sz w:val="20"/>
                      <w:szCs w:val="20"/>
                    </w:rPr>
                  </w:pPr>
                </w:p>
              </w:tc>
            </w:tr>
          </w:tbl>
          <w:p w:rsidR="004A1A83" w:rsidRDefault="004A1A83">
            <w:pPr>
              <w:jc w:val="center"/>
              <w:rPr>
                <w:rFonts w:ascii="Arial" w:eastAsia="Times New Roman" w:hAnsi="Arial" w:cs="Arial"/>
                <w:color w:val="58585A"/>
                <w:sz w:val="17"/>
                <w:szCs w:val="17"/>
              </w:rPr>
            </w:pPr>
          </w:p>
          <w:tbl>
            <w:tblPr>
              <w:tblW w:w="8509" w:type="dxa"/>
              <w:jc w:val="center"/>
              <w:tblCellSpacing w:w="0" w:type="dxa"/>
              <w:tblCellMar>
                <w:left w:w="0" w:type="dxa"/>
                <w:right w:w="0" w:type="dxa"/>
              </w:tblCellMar>
              <w:tblLook w:val="04A0" w:firstRow="1" w:lastRow="0" w:firstColumn="1" w:lastColumn="0" w:noHBand="0" w:noVBand="1"/>
            </w:tblPr>
            <w:tblGrid>
              <w:gridCol w:w="8509"/>
            </w:tblGrid>
            <w:tr w:rsidR="004A1A83">
              <w:trPr>
                <w:tblCellSpacing w:w="0" w:type="dxa"/>
                <w:jc w:val="center"/>
              </w:trPr>
              <w:tc>
                <w:tcPr>
                  <w:tcW w:w="0" w:type="auto"/>
                  <w:hideMark/>
                </w:tcPr>
                <w:tbl>
                  <w:tblPr>
                    <w:tblW w:w="7855" w:type="dxa"/>
                    <w:jc w:val="center"/>
                    <w:tblCellSpacing w:w="0" w:type="dxa"/>
                    <w:tblCellMar>
                      <w:left w:w="0" w:type="dxa"/>
                      <w:right w:w="0" w:type="dxa"/>
                    </w:tblCellMar>
                    <w:tblLook w:val="04A0" w:firstRow="1" w:lastRow="0" w:firstColumn="1" w:lastColumn="0" w:noHBand="0" w:noVBand="1"/>
                  </w:tblPr>
                  <w:tblGrid>
                    <w:gridCol w:w="8104"/>
                  </w:tblGrid>
                  <w:tr w:rsidR="004A1A83">
                    <w:trPr>
                      <w:tblCellSpacing w:w="0" w:type="dxa"/>
                      <w:jc w:val="center"/>
                    </w:trPr>
                    <w:tc>
                      <w:tcPr>
                        <w:tcW w:w="0" w:type="auto"/>
                        <w:tcMar>
                          <w:top w:w="435"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4"/>
                        </w:tblGrid>
                        <w:tr w:rsidR="004A1A83">
                          <w:trPr>
                            <w:tblCellSpacing w:w="0" w:type="dxa"/>
                            <w:jc w:val="center"/>
                          </w:trPr>
                          <w:tc>
                            <w:tcPr>
                              <w:tcW w:w="0" w:type="auto"/>
                              <w:vAlign w:val="center"/>
                              <w:hideMark/>
                            </w:tcPr>
                            <w:p w:rsidR="004A1A83" w:rsidRDefault="004A1A83">
                              <w:pPr>
                                <w:jc w:val="right"/>
                                <w:rPr>
                                  <w:rFonts w:ascii="Arial" w:eastAsia="Times New Roman" w:hAnsi="Arial" w:cs="Arial"/>
                                  <w:b/>
                                  <w:bCs/>
                                  <w:color w:val="8A0066"/>
                                  <w:sz w:val="17"/>
                                  <w:szCs w:val="17"/>
                                </w:rPr>
                              </w:pPr>
                              <w:r>
                                <w:rPr>
                                  <w:rFonts w:ascii="Arial" w:eastAsia="Times New Roman" w:hAnsi="Arial" w:cs="Arial"/>
                                  <w:b/>
                                  <w:bCs/>
                                  <w:color w:val="8A0066"/>
                                  <w:sz w:val="17"/>
                                  <w:szCs w:val="17"/>
                                </w:rPr>
                                <w:t>signaal! 14 - 3 november 2016</w:t>
                              </w:r>
                            </w:p>
                          </w:tc>
                        </w:tr>
                      </w:tbl>
                      <w:p w:rsidR="004A1A83" w:rsidRDefault="004A1A83">
                        <w:pPr>
                          <w:jc w:val="center"/>
                          <w:rPr>
                            <w:rFonts w:eastAsia="Times New Roman"/>
                            <w:sz w:val="20"/>
                            <w:szCs w:val="20"/>
                          </w:rPr>
                        </w:pPr>
                      </w:p>
                    </w:tc>
                  </w:tr>
                  <w:tr w:rsidR="004A1A83">
                    <w:trPr>
                      <w:tblCellSpacing w:w="0" w:type="dxa"/>
                      <w:jc w:val="center"/>
                    </w:trPr>
                    <w:tc>
                      <w:tcPr>
                        <w:tcW w:w="0" w:type="auto"/>
                      </w:tcPr>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tcMar>
                                      <w:top w:w="0" w:type="dxa"/>
                                      <w:left w:w="0" w:type="dxa"/>
                                      <w:bottom w:w="360" w:type="dxa"/>
                                      <w:right w:w="0" w:type="dxa"/>
                                    </w:tcMar>
                                    <w:hideMark/>
                                  </w:tcPr>
                                  <w:p w:rsidR="004A1A83" w:rsidRDefault="004A1A83">
                                    <w:pPr>
                                      <w:spacing w:line="450" w:lineRule="exact"/>
                                      <w:rPr>
                                        <w:rFonts w:ascii="Arial" w:eastAsia="Times New Roman" w:hAnsi="Arial" w:cs="Arial"/>
                                        <w:color w:val="9C9D9F"/>
                                        <w:sz w:val="30"/>
                                        <w:szCs w:val="30"/>
                                      </w:rPr>
                                    </w:pPr>
                                    <w:r>
                                      <w:rPr>
                                        <w:rFonts w:ascii="Arial" w:eastAsia="Times New Roman" w:hAnsi="Arial" w:cs="Arial"/>
                                        <w:color w:val="9C9D9F"/>
                                        <w:sz w:val="30"/>
                                        <w:szCs w:val="30"/>
                                      </w:rPr>
                                      <w:t xml:space="preserve">In het kader van de signaleringsfunctie publiceert </w:t>
                                    </w:r>
                                    <w:proofErr w:type="spellStart"/>
                                    <w:r>
                                      <w:rPr>
                                        <w:rFonts w:ascii="Arial" w:eastAsia="Times New Roman" w:hAnsi="Arial" w:cs="Arial"/>
                                        <w:color w:val="9C9D9F"/>
                                        <w:sz w:val="30"/>
                                        <w:szCs w:val="30"/>
                                      </w:rPr>
                                      <w:t>ecbo</w:t>
                                    </w:r>
                                    <w:proofErr w:type="spellEnd"/>
                                    <w:r>
                                      <w:rPr>
                                        <w:rFonts w:ascii="Arial" w:eastAsia="Times New Roman" w:hAnsi="Arial" w:cs="Arial"/>
                                        <w:color w:val="9C9D9F"/>
                                        <w:sz w:val="30"/>
                                        <w:szCs w:val="30"/>
                                      </w:rPr>
                                      <w:t xml:space="preserve"> een digitale nieuwsbrief ofwel e-zine. De nadruk ligt daarbij op informatie over beleid en onderzoek die aansluit bij de thema's van </w:t>
                                    </w:r>
                                    <w:proofErr w:type="spellStart"/>
                                    <w:r>
                                      <w:rPr>
                                        <w:rFonts w:ascii="Arial" w:eastAsia="Times New Roman" w:hAnsi="Arial" w:cs="Arial"/>
                                        <w:color w:val="9C9D9F"/>
                                        <w:sz w:val="30"/>
                                        <w:szCs w:val="30"/>
                                      </w:rPr>
                                      <w:t>ecbo</w:t>
                                    </w:r>
                                    <w:proofErr w:type="spellEnd"/>
                                    <w:r>
                                      <w:rPr>
                                        <w:rFonts w:ascii="Arial" w:eastAsia="Times New Roman" w:hAnsi="Arial" w:cs="Arial"/>
                                        <w:color w:val="9C9D9F"/>
                                        <w:sz w:val="30"/>
                                        <w:szCs w:val="30"/>
                                      </w:rPr>
                                      <w:t>.</w:t>
                                    </w:r>
                                  </w:p>
                                </w:tc>
                              </w:tr>
                            </w:tbl>
                            <w:p w:rsidR="004A1A83" w:rsidRDefault="004A1A83">
                              <w:pPr>
                                <w:rPr>
                                  <w:rFonts w:eastAsia="Times New Roman"/>
                                  <w:sz w:val="20"/>
                                  <w:szCs w:val="20"/>
                                </w:rPr>
                              </w:pP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tcMar>
                                      <w:top w:w="0" w:type="dxa"/>
                                      <w:left w:w="0" w:type="dxa"/>
                                      <w:bottom w:w="90" w:type="dxa"/>
                                      <w:right w:w="0" w:type="dxa"/>
                                    </w:tcMar>
                                    <w:vAlign w:val="center"/>
                                    <w:hideMark/>
                                  </w:tcPr>
                                  <w:p w:rsidR="004A1A83" w:rsidRDefault="004A1A83">
                                    <w:pPr>
                                      <w:rPr>
                                        <w:rFonts w:ascii="Arial" w:eastAsia="Times New Roman" w:hAnsi="Arial" w:cs="Arial"/>
                                        <w:b/>
                                        <w:bCs/>
                                        <w:caps/>
                                        <w:color w:val="8A0066"/>
                                        <w:sz w:val="23"/>
                                        <w:szCs w:val="23"/>
                                      </w:rPr>
                                    </w:pPr>
                                    <w:r>
                                      <w:rPr>
                                        <w:rFonts w:ascii="Arial" w:eastAsia="Times New Roman" w:hAnsi="Arial" w:cs="Arial"/>
                                        <w:b/>
                                        <w:bCs/>
                                        <w:caps/>
                                        <w:color w:val="8A0066"/>
                                        <w:sz w:val="23"/>
                                        <w:szCs w:val="23"/>
                                      </w:rPr>
                                      <w:t>ALGEMEEN</w:t>
                                    </w:r>
                                  </w:p>
                                </w:tc>
                              </w:tr>
                              <w:tr w:rsidR="004A1A83">
                                <w:trPr>
                                  <w:tblCellSpacing w:w="0" w:type="dxa"/>
                                </w:trPr>
                                <w:tc>
                                  <w:tcPr>
                                    <w:tcW w:w="0" w:type="auto"/>
                                    <w:hideMark/>
                                  </w:tcPr>
                                  <w:tbl>
                                    <w:tblPr>
                                      <w:tblW w:w="2566" w:type="dxa"/>
                                      <w:tblCellSpacing w:w="0" w:type="dxa"/>
                                      <w:tblCellMar>
                                        <w:left w:w="0" w:type="dxa"/>
                                        <w:right w:w="0" w:type="dxa"/>
                                      </w:tblCellMar>
                                      <w:tblLook w:val="04A0" w:firstRow="1" w:lastRow="0" w:firstColumn="1" w:lastColumn="0" w:noHBand="0" w:noVBand="1"/>
                                    </w:tblPr>
                                    <w:tblGrid>
                                      <w:gridCol w:w="2566"/>
                                    </w:tblGrid>
                                    <w:tr w:rsidR="004A1A83">
                                      <w:trPr>
                                        <w:trHeight w:val="262"/>
                                        <w:tblCellSpacing w:w="0" w:type="dxa"/>
                                      </w:trPr>
                                      <w:tc>
                                        <w:tcPr>
                                          <w:tcW w:w="0" w:type="auto"/>
                                          <w:tcBorders>
                                            <w:top w:val="single" w:sz="6" w:space="0" w:color="8A0066"/>
                                            <w:left w:val="nil"/>
                                            <w:bottom w:val="nil"/>
                                            <w:right w:val="single" w:sz="6" w:space="0" w:color="8A0066"/>
                                          </w:tcBorders>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rPr>
                                        <w:rFonts w:eastAsia="Times New Roman"/>
                                        <w:sz w:val="20"/>
                                        <w:szCs w:val="20"/>
                                      </w:rPr>
                                    </w:pPr>
                                  </w:p>
                                </w:tc>
                              </w:tr>
                              <w:tr w:rsidR="004A1A83">
                                <w:trPr>
                                  <w:trHeight w:val="367"/>
                                  <w:tblCellSpacing w:w="0" w:type="dxa"/>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rPr>
                                  <w:rFonts w:eastAsia="Times New Roman"/>
                                  <w:sz w:val="20"/>
                                  <w:szCs w:val="20"/>
                                </w:rPr>
                              </w:pP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056"/>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6"/>
                                <w:gridCol w:w="5105"/>
                              </w:tblGrid>
                              <w:tr w:rsidR="004A1A83">
                                <w:trPr>
                                  <w:trHeight w:val="236"/>
                                  <w:tblCellSpacing w:w="0" w:type="dxa"/>
                                </w:trPr>
                                <w:tc>
                                  <w:tcPr>
                                    <w:tcW w:w="0" w:type="auto"/>
                                    <w:hideMark/>
                                  </w:tcPr>
                                  <w:p w:rsidR="004A1A83" w:rsidRDefault="004A1A83">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7" name="Afbeelding 7" descr="http://images.m15.mailplus.nl/mailing315291273/signaal_promoveren__196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15.mailplus.nl/mailing315291273/signaal_promoveren__196_1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 xml:space="preserve">Inschrijving </w:t>
                                          </w:r>
                                          <w:proofErr w:type="spellStart"/>
                                          <w:r>
                                            <w:rPr>
                                              <w:rFonts w:ascii="Arial" w:eastAsia="Times New Roman" w:hAnsi="Arial" w:cs="Arial"/>
                                              <w:b/>
                                              <w:bCs/>
                                              <w:color w:val="8A0066"/>
                                              <w:sz w:val="20"/>
                                              <w:szCs w:val="20"/>
                                            </w:rPr>
                                            <w:t>prepromotietraject</w:t>
                                          </w:r>
                                          <w:proofErr w:type="spellEnd"/>
                                          <w:r>
                                            <w:rPr>
                                              <w:rFonts w:ascii="Arial" w:eastAsia="Times New Roman" w:hAnsi="Arial" w:cs="Arial"/>
                                              <w:b/>
                                              <w:bCs/>
                                              <w:color w:val="8A0066"/>
                                              <w:sz w:val="20"/>
                                              <w:szCs w:val="20"/>
                                            </w:rPr>
                                            <w:t xml:space="preserve"> mbo-docenten geopend</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Op initiatief van de BVMBO hebben het expertisecentrum beroepsonderwijs (</w:t>
                                          </w:r>
                                          <w:proofErr w:type="spellStart"/>
                                          <w:r>
                                            <w:rPr>
                                              <w:rFonts w:ascii="Arial" w:eastAsia="Times New Roman" w:hAnsi="Arial" w:cs="Arial"/>
                                              <w:color w:val="58585A"/>
                                              <w:sz w:val="17"/>
                                              <w:szCs w:val="17"/>
                                            </w:rPr>
                                            <w:t>ecbo</w:t>
                                          </w:r>
                                          <w:proofErr w:type="spellEnd"/>
                                          <w:r>
                                            <w:rPr>
                                              <w:rFonts w:ascii="Arial" w:eastAsia="Times New Roman" w:hAnsi="Arial" w:cs="Arial"/>
                                              <w:color w:val="58585A"/>
                                              <w:sz w:val="17"/>
                                              <w:szCs w:val="17"/>
                                            </w:rPr>
                                            <w:t xml:space="preserve">), Hogeschool Utrecht (HU) en de Open Universiteit (OU) een </w:t>
                                          </w:r>
                                          <w:proofErr w:type="spellStart"/>
                                          <w:r>
                                            <w:rPr>
                                              <w:rFonts w:ascii="Arial" w:eastAsia="Times New Roman" w:hAnsi="Arial" w:cs="Arial"/>
                                              <w:color w:val="58585A"/>
                                              <w:sz w:val="17"/>
                                              <w:szCs w:val="17"/>
                                            </w:rPr>
                                            <w:t>prepromotietraject</w:t>
                                          </w:r>
                                          <w:proofErr w:type="spellEnd"/>
                                          <w:r>
                                            <w:rPr>
                                              <w:rFonts w:ascii="Arial" w:eastAsia="Times New Roman" w:hAnsi="Arial" w:cs="Arial"/>
                                              <w:color w:val="58585A"/>
                                              <w:sz w:val="17"/>
                                              <w:szCs w:val="17"/>
                                            </w:rPr>
                                            <w:t xml:space="preserve"> ontwikkeld voor mbo-docenten met promotieambities. Dit traject biedt mbo-docenten die interesse hebben in het doen van onderwijskundig promotieonderzoek, praktische en inhoudelijke ondersteuning om daadwerkelijk van start te gaan met hun onderzoek en het aanvragen van een promotiebeurs.</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7" w:tgtFrame="_blank" w:history="1">
                                            <w:r>
                                              <w:rPr>
                                                <w:rStyle w:val="Hyperlink"/>
                                                <w:rFonts w:ascii="Arial" w:eastAsia="Times New Roman" w:hAnsi="Arial" w:cs="Arial"/>
                                                <w:b/>
                                                <w:bCs/>
                                                <w:color w:val="8A0066"/>
                                                <w:sz w:val="17"/>
                                                <w:szCs w:val="17"/>
                                              </w:rPr>
                                              <w:t>Bericht</w:t>
                                            </w:r>
                                          </w:hyperlink>
                                          <w:r>
                                            <w:rPr>
                                              <w:rFonts w:ascii="Arial" w:eastAsia="Times New Roman" w:hAnsi="Arial" w:cs="Arial"/>
                                              <w:b/>
                                              <w:bCs/>
                                              <w:color w:val="8A0066"/>
                                              <w:sz w:val="17"/>
                                              <w:szCs w:val="17"/>
                                            </w:rPr>
                                            <w:t> BVMBO &gt;&gt;</w:t>
                                          </w:r>
                                        </w:p>
                                      </w:tc>
                                    </w:tr>
                                  </w:tbl>
                                  <w:p w:rsidR="004A1A83" w:rsidRDefault="004A1A83">
                                    <w:pPr>
                                      <w:rPr>
                                        <w:rFonts w:eastAsia="Times New Roman"/>
                                        <w:sz w:val="20"/>
                                        <w:szCs w:val="20"/>
                                      </w:rPr>
                                    </w:pP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NRO reikt prijzen uit tijdens congres</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Tijdens het NRO congres op 2 november zijn de winnaars van de NRO-onderwijsprijs en de NRO-VOR-praktijkprijs bekendgemaakt. De NRO-onderwijsprijs 2016 voor het toepassen van onderzoek binnen de </w:t>
                                    </w:r>
                                    <w:r>
                                      <w:rPr>
                                        <w:rFonts w:ascii="Arial" w:eastAsia="Times New Roman" w:hAnsi="Arial" w:cs="Arial"/>
                                        <w:color w:val="58585A"/>
                                        <w:sz w:val="17"/>
                                        <w:szCs w:val="17"/>
                                      </w:rPr>
                                      <w:lastRenderedPageBreak/>
                                      <w:t xml:space="preserve">school gaat naar docente </w:t>
                                    </w:r>
                                    <w:proofErr w:type="spellStart"/>
                                    <w:r>
                                      <w:rPr>
                                        <w:rFonts w:ascii="Arial" w:eastAsia="Times New Roman" w:hAnsi="Arial" w:cs="Arial"/>
                                        <w:color w:val="58585A"/>
                                        <w:sz w:val="17"/>
                                        <w:szCs w:val="17"/>
                                      </w:rPr>
                                      <w:t>Rodica</w:t>
                                    </w:r>
                                    <w:proofErr w:type="spellEnd"/>
                                    <w:r>
                                      <w:rPr>
                                        <w:rFonts w:ascii="Arial" w:eastAsia="Times New Roman" w:hAnsi="Arial" w:cs="Arial"/>
                                        <w:color w:val="58585A"/>
                                        <w:sz w:val="17"/>
                                        <w:szCs w:val="17"/>
                                      </w:rPr>
                                      <w:t xml:space="preserve"> Ernst. Monica Koster en Renske Bouwer ontvingen de NRO-VOR-praktijkprijs 2016 voor vertaling onderzoek naar onderwijspraktijk.</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8" w:tgtFrame="_blank" w:history="1">
                                      <w:r>
                                        <w:rPr>
                                          <w:rStyle w:val="Hyperlink"/>
                                          <w:rFonts w:ascii="Arial" w:eastAsia="Times New Roman" w:hAnsi="Arial" w:cs="Arial"/>
                                          <w:b/>
                                          <w:bCs/>
                                          <w:color w:val="8A0066"/>
                                          <w:sz w:val="17"/>
                                          <w:szCs w:val="17"/>
                                        </w:rPr>
                                        <w:t>Nieuws NRO</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lastRenderedPageBreak/>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 xml:space="preserve">Debat Nationale </w:t>
                                    </w:r>
                                    <w:proofErr w:type="spellStart"/>
                                    <w:r>
                                      <w:rPr>
                                        <w:rFonts w:ascii="Arial" w:eastAsia="Times New Roman" w:hAnsi="Arial" w:cs="Arial"/>
                                        <w:b/>
                                        <w:bCs/>
                                        <w:color w:val="8A0066"/>
                                        <w:sz w:val="20"/>
                                        <w:szCs w:val="20"/>
                                      </w:rPr>
                                      <w:t>DenkTank</w:t>
                                    </w:r>
                                    <w:proofErr w:type="spellEnd"/>
                                    <w:r>
                                      <w:rPr>
                                        <w:rFonts w:ascii="Arial" w:eastAsia="Times New Roman" w:hAnsi="Arial" w:cs="Arial"/>
                                        <w:b/>
                                        <w:bCs/>
                                        <w:color w:val="8A0066"/>
                                        <w:sz w:val="20"/>
                                        <w:szCs w:val="20"/>
                                      </w:rPr>
                                      <w:t xml:space="preserve"> over de toekomst van het beroepsonderwijs op 8 november</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De Nationale </w:t>
                                    </w:r>
                                    <w:proofErr w:type="spellStart"/>
                                    <w:r>
                                      <w:rPr>
                                        <w:rFonts w:ascii="Arial" w:eastAsia="Times New Roman" w:hAnsi="Arial" w:cs="Arial"/>
                                        <w:color w:val="58585A"/>
                                        <w:sz w:val="17"/>
                                        <w:szCs w:val="17"/>
                                      </w:rPr>
                                      <w:t>DenkTank</w:t>
                                    </w:r>
                                    <w:proofErr w:type="spellEnd"/>
                                    <w:r>
                                      <w:rPr>
                                        <w:rFonts w:ascii="Arial" w:eastAsia="Times New Roman" w:hAnsi="Arial" w:cs="Arial"/>
                                        <w:color w:val="58585A"/>
                                        <w:sz w:val="17"/>
                                        <w:szCs w:val="17"/>
                                      </w:rPr>
                                      <w:t xml:space="preserve"> 2016 verdiept zich dit jaar in de vraag: hoe maken we het beroepsonderwijs toekomstbestendig? Wat is de rol van de docent en de werkgever in de toekomst? En wat verwachten we eigenlijk van onze leerlingen in het beroepsonderwijs? Er is onderzoek verricht en met honderden experts gesproken. Uit dit onderzoek zijn een tiental creatieve oplossingen voortgekomen. Om deze oplossingen te testen en aan te scherpen gaat de </w:t>
                                    </w:r>
                                    <w:proofErr w:type="spellStart"/>
                                    <w:r>
                                      <w:rPr>
                                        <w:rFonts w:ascii="Arial" w:eastAsia="Times New Roman" w:hAnsi="Arial" w:cs="Arial"/>
                                        <w:color w:val="58585A"/>
                                        <w:sz w:val="17"/>
                                        <w:szCs w:val="17"/>
                                      </w:rPr>
                                      <w:t>DenkTank</w:t>
                                    </w:r>
                                    <w:proofErr w:type="spellEnd"/>
                                    <w:r>
                                      <w:rPr>
                                        <w:rFonts w:ascii="Arial" w:eastAsia="Times New Roman" w:hAnsi="Arial" w:cs="Arial"/>
                                        <w:color w:val="58585A"/>
                                        <w:sz w:val="17"/>
                                        <w:szCs w:val="17"/>
                                      </w:rPr>
                                      <w:t xml:space="preserve"> op 8 november graag in gesprek met ervaringsdeskundigen.</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9" w:tgtFrame="_blank" w:history="1">
                                      <w:r>
                                        <w:rPr>
                                          <w:rStyle w:val="Hyperlink"/>
                                          <w:rFonts w:ascii="Arial" w:eastAsia="Times New Roman" w:hAnsi="Arial" w:cs="Arial"/>
                                          <w:b/>
                                          <w:bCs/>
                                          <w:color w:val="8A0066"/>
                                          <w:sz w:val="17"/>
                                          <w:szCs w:val="17"/>
                                        </w:rPr>
                                        <w:t>Bericht De Balie</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Onderwijsraad: Debat Leraren maken de toekomst op 1 december</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Op donderdagavond 1 december organiseert de Onderwijsraad in </w:t>
                                    </w:r>
                                    <w:proofErr w:type="spellStart"/>
                                    <w:r>
                                      <w:rPr>
                                        <w:rFonts w:ascii="Arial" w:eastAsia="Times New Roman" w:hAnsi="Arial" w:cs="Arial"/>
                                        <w:color w:val="58585A"/>
                                        <w:sz w:val="17"/>
                                        <w:szCs w:val="17"/>
                                      </w:rPr>
                                      <w:t>co-productie</w:t>
                                    </w:r>
                                    <w:proofErr w:type="spellEnd"/>
                                    <w:r>
                                      <w:rPr>
                                        <w:rFonts w:ascii="Arial" w:eastAsia="Times New Roman" w:hAnsi="Arial" w:cs="Arial"/>
                                        <w:color w:val="58585A"/>
                                        <w:sz w:val="17"/>
                                        <w:szCs w:val="17"/>
                                      </w:rPr>
                                      <w:t xml:space="preserve"> met de Balie een onderwijsdebat over kwaliteit, ruimte en rekenschap. Het debat biedt concrete handvatten voor docenten en schoolleiders om op de eigen school aan de slag te gaan met professionele ruimte, kwaliteitscultuur en een brede opvatting van onderwijskwaliteit.</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10" w:tgtFrame="_blank" w:history="1">
                                      <w:r>
                                        <w:rPr>
                                          <w:rStyle w:val="Hyperlink"/>
                                          <w:rFonts w:ascii="Arial" w:eastAsia="Times New Roman" w:hAnsi="Arial" w:cs="Arial"/>
                                          <w:b/>
                                          <w:bCs/>
                                          <w:color w:val="8A0066"/>
                                          <w:sz w:val="17"/>
                                          <w:szCs w:val="17"/>
                                        </w:rPr>
                                        <w:t>Bericht Onderwijsraad</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Conferentie vo-mbo: Rondom Rekenen op 14 december</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Op 14 december 2016 organiseren de Steunpunten taal en rekenen mbo en vo een gezamenlijke rekenconferentie in congrescentrum </w:t>
                                    </w:r>
                                    <w:proofErr w:type="spellStart"/>
                                    <w:r>
                                      <w:rPr>
                                        <w:rFonts w:ascii="Arial" w:eastAsia="Times New Roman" w:hAnsi="Arial" w:cs="Arial"/>
                                        <w:color w:val="58585A"/>
                                        <w:sz w:val="17"/>
                                        <w:szCs w:val="17"/>
                                      </w:rPr>
                                      <w:t>ReeHorst</w:t>
                                    </w:r>
                                    <w:proofErr w:type="spellEnd"/>
                                    <w:r>
                                      <w:rPr>
                                        <w:rFonts w:ascii="Arial" w:eastAsia="Times New Roman" w:hAnsi="Arial" w:cs="Arial"/>
                                        <w:color w:val="58585A"/>
                                        <w:sz w:val="17"/>
                                        <w:szCs w:val="17"/>
                                      </w:rPr>
                                      <w:t xml:space="preserve"> in Ede. De </w:t>
                                    </w:r>
                                    <w:hyperlink r:id="rId11" w:tgtFrame="_blank" w:tooltip="" w:history="1">
                                      <w:r>
                                        <w:rPr>
                                          <w:rStyle w:val="Hyperlink"/>
                                          <w:rFonts w:ascii="Arial" w:eastAsia="Times New Roman" w:hAnsi="Arial" w:cs="Arial"/>
                                          <w:color w:val="8A0066"/>
                                          <w:sz w:val="17"/>
                                          <w:szCs w:val="17"/>
                                        </w:rPr>
                                        <w:t>Agenda Rekenonderwijs</w:t>
                                      </w:r>
                                    </w:hyperlink>
                                    <w:r>
                                      <w:rPr>
                                        <w:rFonts w:ascii="Arial" w:eastAsia="Times New Roman" w:hAnsi="Arial" w:cs="Arial"/>
                                        <w:color w:val="58585A"/>
                                        <w:sz w:val="17"/>
                                        <w:szCs w:val="17"/>
                                      </w:rPr>
                                      <w:t> (juli 2016), met als doel de motivatie voor rekenen in alle geledingen hoog te houden, is het overkoepelende thema van de conferentie. De punten uit de Agenda Rekenonderwijs worden geconcretiseerd in een groot aantal workshops en lezingen.</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12" w:tgtFrame="_blank" w:history="1">
                                      <w:r>
                                        <w:rPr>
                                          <w:rStyle w:val="Hyperlink"/>
                                          <w:rFonts w:ascii="Arial" w:eastAsia="Times New Roman" w:hAnsi="Arial" w:cs="Arial"/>
                                          <w:b/>
                                          <w:bCs/>
                                          <w:color w:val="8A0066"/>
                                          <w:sz w:val="17"/>
                                          <w:szCs w:val="17"/>
                                        </w:rPr>
                                        <w:t>Bericht Steunpunt</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tcMar>
                                      <w:top w:w="0" w:type="dxa"/>
                                      <w:left w:w="0" w:type="dxa"/>
                                      <w:bottom w:w="90" w:type="dxa"/>
                                      <w:right w:w="0" w:type="dxa"/>
                                    </w:tcMar>
                                    <w:vAlign w:val="center"/>
                                    <w:hideMark/>
                                  </w:tcPr>
                                  <w:p w:rsidR="004A1A83" w:rsidRDefault="004A1A83">
                                    <w:pPr>
                                      <w:rPr>
                                        <w:rFonts w:ascii="Arial" w:eastAsia="Times New Roman" w:hAnsi="Arial" w:cs="Arial"/>
                                        <w:b/>
                                        <w:bCs/>
                                        <w:caps/>
                                        <w:color w:val="8A0066"/>
                                        <w:sz w:val="23"/>
                                        <w:szCs w:val="23"/>
                                      </w:rPr>
                                    </w:pPr>
                                    <w:r>
                                      <w:rPr>
                                        <w:rFonts w:ascii="Arial" w:eastAsia="Times New Roman" w:hAnsi="Arial" w:cs="Arial"/>
                                        <w:b/>
                                        <w:bCs/>
                                        <w:caps/>
                                        <w:color w:val="8A0066"/>
                                        <w:sz w:val="23"/>
                                        <w:szCs w:val="23"/>
                                      </w:rPr>
                                      <w:t>Advies en beleid</w:t>
                                    </w:r>
                                  </w:p>
                                </w:tc>
                              </w:tr>
                              <w:tr w:rsidR="004A1A83">
                                <w:trPr>
                                  <w:tblCellSpacing w:w="0" w:type="dxa"/>
                                </w:trPr>
                                <w:tc>
                                  <w:tcPr>
                                    <w:tcW w:w="0" w:type="auto"/>
                                    <w:hideMark/>
                                  </w:tcPr>
                                  <w:tbl>
                                    <w:tblPr>
                                      <w:tblW w:w="2566" w:type="dxa"/>
                                      <w:tblCellSpacing w:w="0" w:type="dxa"/>
                                      <w:tblCellMar>
                                        <w:left w:w="0" w:type="dxa"/>
                                        <w:right w:w="0" w:type="dxa"/>
                                      </w:tblCellMar>
                                      <w:tblLook w:val="04A0" w:firstRow="1" w:lastRow="0" w:firstColumn="1" w:lastColumn="0" w:noHBand="0" w:noVBand="1"/>
                                    </w:tblPr>
                                    <w:tblGrid>
                                      <w:gridCol w:w="2566"/>
                                    </w:tblGrid>
                                    <w:tr w:rsidR="004A1A83">
                                      <w:trPr>
                                        <w:trHeight w:val="262"/>
                                        <w:tblCellSpacing w:w="0" w:type="dxa"/>
                                      </w:trPr>
                                      <w:tc>
                                        <w:tcPr>
                                          <w:tcW w:w="0" w:type="auto"/>
                                          <w:tcBorders>
                                            <w:top w:val="single" w:sz="6" w:space="0" w:color="8A0066"/>
                                            <w:left w:val="nil"/>
                                            <w:bottom w:val="nil"/>
                                            <w:right w:val="single" w:sz="6" w:space="0" w:color="8A0066"/>
                                          </w:tcBorders>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rPr>
                                        <w:rFonts w:eastAsia="Times New Roman"/>
                                        <w:sz w:val="20"/>
                                        <w:szCs w:val="20"/>
                                      </w:rPr>
                                    </w:pPr>
                                  </w:p>
                                </w:tc>
                              </w:tr>
                              <w:tr w:rsidR="004A1A83">
                                <w:trPr>
                                  <w:trHeight w:val="367"/>
                                  <w:tblCellSpacing w:w="0" w:type="dxa"/>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rPr>
                                  <w:rFonts w:eastAsia="Times New Roman"/>
                                  <w:sz w:val="20"/>
                                  <w:szCs w:val="20"/>
                                </w:rPr>
                              </w:pP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104"/>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93"/>
                                <w:gridCol w:w="6"/>
                                <w:gridCol w:w="5105"/>
                              </w:tblGrid>
                              <w:tr w:rsidR="004A1A83">
                                <w:trPr>
                                  <w:trHeight w:val="236"/>
                                  <w:tblCellSpacing w:w="0" w:type="dxa"/>
                                </w:trPr>
                                <w:tc>
                                  <w:tcPr>
                                    <w:tcW w:w="0" w:type="auto"/>
                                    <w:hideMark/>
                                  </w:tcPr>
                                  <w:p w:rsidR="004A1A83" w:rsidRDefault="004A1A83">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6" name="Afbeelding 6" descr="http://images.m15.mailplus.nl/mailing315291273/signaal_techniek_zwart_bbl_196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15.mailplus.nl/mailing315291273/signaal_techniek_zwart_bbl_196_1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r>
                                      <w:rPr>
                                        <w:rFonts w:ascii="Arial" w:eastAsia="Times New Roman" w:hAnsi="Arial" w:cs="Arial"/>
                                        <w:color w:val="58585A"/>
                                        <w:sz w:val="17"/>
                                        <w:szCs w:val="17"/>
                                      </w:rPr>
                                      <w:t> </w:t>
                                    </w:r>
                                  </w:p>
                                </w:tc>
                                <w:tc>
                                  <w:tcPr>
                                    <w:tcW w:w="183" w:type="dxa"/>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SER-advies: Halt toeroepen aan terugloop in praktijkopleiding beroepsonderwijs</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Er is een toenemende behoefte aan modern geschoolde vakkrachten. Ook is de arbeidsmarkt steeds dynamischer gegeven de digitalisering en andere technologische ontwikkelingen. De SER wil daarom een halt toeroepen aan de terugloop in het aantal leerlingen dat kiest voor de beroepsbegeleidende leerweg (</w:t>
                                          </w:r>
                                          <w:proofErr w:type="spellStart"/>
                                          <w:r>
                                            <w:rPr>
                                              <w:rFonts w:ascii="Arial" w:eastAsia="Times New Roman" w:hAnsi="Arial" w:cs="Arial"/>
                                              <w:color w:val="58585A"/>
                                              <w:sz w:val="17"/>
                                              <w:szCs w:val="17"/>
                                            </w:rPr>
                                            <w:t>bbl</w:t>
                                          </w:r>
                                          <w:proofErr w:type="spellEnd"/>
                                          <w:r>
                                            <w:rPr>
                                              <w:rFonts w:ascii="Arial" w:eastAsia="Times New Roman" w:hAnsi="Arial" w:cs="Arial"/>
                                              <w:color w:val="58585A"/>
                                              <w:sz w:val="17"/>
                                              <w:szCs w:val="17"/>
                                            </w:rPr>
                                            <w:t xml:space="preserve">) in het mbo. Juist hier liggen kansen voor jongeren en de samenleving als geheel. De Raad pleit in een advies over de toekomst van het beroepsonderwijs voor onder meer betere voorlichting, meer ruimte voor hybride vormen van beroepsonderwijs tussen bedrijven en scholen en betere regionale samenwerking tussen scholen. De Raad roept -gegeven de urgentie- mbo-instellingen, het Ministerie </w:t>
                                          </w:r>
                                          <w:r>
                                            <w:rPr>
                                              <w:rFonts w:ascii="Arial" w:eastAsia="Times New Roman" w:hAnsi="Arial" w:cs="Arial"/>
                                              <w:color w:val="58585A"/>
                                              <w:sz w:val="17"/>
                                              <w:szCs w:val="17"/>
                                            </w:rPr>
                                            <w:lastRenderedPageBreak/>
                                            <w:t xml:space="preserve">van </w:t>
                                          </w:r>
                                          <w:proofErr w:type="spellStart"/>
                                          <w:r>
                                            <w:rPr>
                                              <w:rFonts w:ascii="Arial" w:eastAsia="Times New Roman" w:hAnsi="Arial" w:cs="Arial"/>
                                              <w:color w:val="58585A"/>
                                              <w:sz w:val="17"/>
                                              <w:szCs w:val="17"/>
                                            </w:rPr>
                                            <w:t>OCenW</w:t>
                                          </w:r>
                                          <w:proofErr w:type="spellEnd"/>
                                          <w:r>
                                            <w:rPr>
                                              <w:rFonts w:ascii="Arial" w:eastAsia="Times New Roman" w:hAnsi="Arial" w:cs="Arial"/>
                                              <w:color w:val="58585A"/>
                                              <w:sz w:val="17"/>
                                              <w:szCs w:val="17"/>
                                            </w:rPr>
                                            <w:t>, jongereninstellingen, bedrijven en vakbonden op hiermee concreet aan de slag te gaan op alle niveaus.</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14" w:tgtFrame="_blank" w:history="1">
                                            <w:r>
                                              <w:rPr>
                                                <w:rStyle w:val="Hyperlink"/>
                                                <w:rFonts w:ascii="Arial" w:eastAsia="Times New Roman" w:hAnsi="Arial" w:cs="Arial"/>
                                                <w:b/>
                                                <w:bCs/>
                                                <w:color w:val="8A0066"/>
                                                <w:sz w:val="17"/>
                                                <w:szCs w:val="17"/>
                                              </w:rPr>
                                              <w:t>Bericht SER</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15" w:tgtFrame="_blank" w:history="1">
                                            <w:r>
                                              <w:rPr>
                                                <w:rStyle w:val="Hyperlink"/>
                                                <w:rFonts w:ascii="Arial" w:eastAsia="Times New Roman" w:hAnsi="Arial" w:cs="Arial"/>
                                                <w:b/>
                                                <w:bCs/>
                                                <w:color w:val="8A0066"/>
                                                <w:sz w:val="17"/>
                                                <w:szCs w:val="17"/>
                                              </w:rPr>
                                              <w:t>Reactie SBB</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lastRenderedPageBreak/>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SER: Denk over stads- en regiogrenzen heen</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Specialiseer je als regio in één van je sterke kanten en deel daarover je expertise met andere regio’s. Breng verschillende niveaus bij elkaar en investeer in relaties tussen bedrijfsleven, onderwijs en lokale overheid. En verbind economie en arbeidsmarkt aan elkaar. Dit zijn drie van de vele succesfactoren voor een sterke stad en regio die deelnemers aandroegen tijdens de inspiratiesessie met </w:t>
                                    </w:r>
                                    <w:proofErr w:type="spellStart"/>
                                    <w:r>
                                      <w:rPr>
                                        <w:rFonts w:ascii="Arial" w:eastAsia="Times New Roman" w:hAnsi="Arial" w:cs="Arial"/>
                                        <w:color w:val="58585A"/>
                                        <w:sz w:val="17"/>
                                        <w:szCs w:val="17"/>
                                      </w:rPr>
                                      <w:t>economic</w:t>
                                    </w:r>
                                    <w:proofErr w:type="spellEnd"/>
                                    <w:r>
                                      <w:rPr>
                                        <w:rFonts w:ascii="Arial" w:eastAsia="Times New Roman" w:hAnsi="Arial" w:cs="Arial"/>
                                        <w:color w:val="58585A"/>
                                        <w:sz w:val="17"/>
                                        <w:szCs w:val="17"/>
                                      </w:rPr>
                                      <w:t xml:space="preserve"> boards die de SER en het ministerie van Economische Zaken onlangs samen organiseerden. Minister Plasterk vraagt de SER om in een vervolgtraject in te gaan op de vraag: “Hoe functioneren regionale infrastructuren rondom de driehoek economie – onderwijs – arbeidsmarkt en hoe kunnen deze bijdragen aan het versterken van de economische kracht van stad en regio?"</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16" w:tgtFrame="_blank" w:history="1">
                                      <w:r>
                                        <w:rPr>
                                          <w:rStyle w:val="Hyperlink"/>
                                          <w:rFonts w:ascii="Arial" w:eastAsia="Times New Roman" w:hAnsi="Arial" w:cs="Arial"/>
                                          <w:b/>
                                          <w:bCs/>
                                          <w:color w:val="8A0066"/>
                                          <w:sz w:val="17"/>
                                          <w:szCs w:val="17"/>
                                        </w:rPr>
                                        <w:t>Bericht SER &gt;&gt;</w:t>
                                      </w:r>
                                    </w:hyperlink>
                                    <w:hyperlink r:id="rId17" w:tgtFrame="_blank" w:history="1">
                                      <w:r>
                                        <w:rPr>
                                          <w:rFonts w:ascii="Arial" w:eastAsia="Times New Roman" w:hAnsi="Arial" w:cs="Arial"/>
                                          <w:b/>
                                          <w:bCs/>
                                          <w:color w:val="8A0066"/>
                                          <w:sz w:val="17"/>
                                          <w:szCs w:val="17"/>
                                        </w:rPr>
                                        <w:br/>
                                      </w:r>
                                    </w:hyperlink>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OCW: Ruim €40 miljoen voor betere aansluiting mbo met bedrijfsleven in de regio</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16 samenwerkingsprojecten rondom mbo-scholen in heel Nederland krijgen ruim €40 miljoen om de aansluiting tussen onderwijs en arbeidsmarkt in de regio te verbeteren. Hiermee krijgen de mbo-scholen meer gelegenheid om samen met bedrijven innovaties in hun onderwijsprogramma’s een plek te geven. Minister Bussemaker heeft op 24 oktober bekend gemaakt welke projecten geld krijgen uit de vierde ronde van het regionaal investeringsfonds mbo. Zij maakt hiervoor €12,8 miljoen vrij, het bedrijfsleven en de regionale overheden vullen dit bedrag aan tot ruim €40 miljoen.</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18" w:tgtFrame="_blank" w:history="1">
                                      <w:r>
                                        <w:rPr>
                                          <w:rStyle w:val="Hyperlink"/>
                                          <w:rFonts w:ascii="Arial" w:eastAsia="Times New Roman" w:hAnsi="Arial" w:cs="Arial"/>
                                          <w:b/>
                                          <w:bCs/>
                                          <w:color w:val="8A0066"/>
                                          <w:sz w:val="17"/>
                                          <w:szCs w:val="17"/>
                                        </w:rPr>
                                        <w:t>Bericht OCW &gt;&gt;</w:t>
                                      </w:r>
                                      <w:r>
                                        <w:rPr>
                                          <w:rFonts w:ascii="Arial" w:eastAsia="Times New Roman" w:hAnsi="Arial" w:cs="Arial"/>
                                          <w:b/>
                                          <w:bCs/>
                                          <w:color w:val="8A0066"/>
                                          <w:sz w:val="17"/>
                                          <w:szCs w:val="17"/>
                                        </w:rPr>
                                        <w:br/>
                                      </w:r>
                                    </w:hyperlink>
                                    <w:hyperlink r:id="rId19" w:tgtFrame="_blank" w:history="1">
                                      <w:r>
                                        <w:rPr>
                                          <w:rStyle w:val="Hyperlink"/>
                                          <w:rFonts w:ascii="Arial" w:eastAsia="Times New Roman" w:hAnsi="Arial" w:cs="Arial"/>
                                          <w:b/>
                                          <w:bCs/>
                                          <w:color w:val="8A0066"/>
                                          <w:sz w:val="17"/>
                                          <w:szCs w:val="17"/>
                                        </w:rPr>
                                        <w:t>Bericht Platform Bèta Techniek &gt;&gt;</w:t>
                                      </w:r>
                                    </w:hyperlink>
                                    <w:hyperlink r:id="rId20" w:tgtFrame="_blank" w:history="1">
                                      <w:r>
                                        <w:rPr>
                                          <w:rFonts w:ascii="Arial" w:eastAsia="Times New Roman" w:hAnsi="Arial" w:cs="Arial"/>
                                          <w:b/>
                                          <w:bCs/>
                                          <w:color w:val="8A0066"/>
                                          <w:sz w:val="17"/>
                                          <w:szCs w:val="17"/>
                                        </w:rPr>
                                        <w:br/>
                                      </w:r>
                                    </w:hyperlink>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Kamerbrief over fusietoets in het onderwijs</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In deze kamerbrief informeren Minister Bussemaker en staatssecretaris Dekker de Eerste Kamer over hoe de context van de fusietoets veranderd is. Ook gaan zij in op de bevindingen uit de wetsevaluatie en de veldraadpleging. Voordat scholen kunnen fuseren moeten docenten, ouders en leerlingen daar eerst toestemming voor geven. Die voorwaarde wil minister  Bussemaker formeel vastleggen. Het wetsvoorstel is op 17 oktober naar de Tweede Kamer gestuurd. </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21" w:tgtFrame="_blank" w:history="1">
                                      <w:r>
                                        <w:rPr>
                                          <w:rStyle w:val="Hyperlink"/>
                                          <w:rFonts w:ascii="Arial" w:eastAsia="Times New Roman" w:hAnsi="Arial" w:cs="Arial"/>
                                          <w:b/>
                                          <w:bCs/>
                                          <w:color w:val="8A0066"/>
                                          <w:sz w:val="17"/>
                                          <w:szCs w:val="17"/>
                                        </w:rPr>
                                        <w:t>Bericht OCW &gt;&gt;</w:t>
                                      </w:r>
                                      <w:r>
                                        <w:rPr>
                                          <w:rFonts w:ascii="Arial" w:eastAsia="Times New Roman" w:hAnsi="Arial" w:cs="Arial"/>
                                          <w:b/>
                                          <w:bCs/>
                                          <w:color w:val="8A0066"/>
                                          <w:sz w:val="17"/>
                                          <w:szCs w:val="17"/>
                                        </w:rPr>
                                        <w:br/>
                                      </w:r>
                                    </w:hyperlink>
                                    <w:hyperlink r:id="rId22" w:tgtFrame="_blank" w:history="1">
                                      <w:r>
                                        <w:rPr>
                                          <w:rStyle w:val="Hyperlink"/>
                                          <w:rFonts w:ascii="Arial" w:eastAsia="Times New Roman" w:hAnsi="Arial" w:cs="Arial"/>
                                          <w:b/>
                                          <w:bCs/>
                                          <w:color w:val="8A0066"/>
                                          <w:sz w:val="17"/>
                                          <w:szCs w:val="17"/>
                                        </w:rPr>
                                        <w:t>Bericht BNR Nieuwsradio &gt;&gt;</w:t>
                                      </w:r>
                                    </w:hyperlink>
                                    <w:hyperlink r:id="rId23" w:tgtFrame="_blank" w:history="1">
                                      <w:r>
                                        <w:rPr>
                                          <w:rFonts w:ascii="Arial" w:eastAsia="Times New Roman" w:hAnsi="Arial" w:cs="Arial"/>
                                          <w:b/>
                                          <w:bCs/>
                                          <w:color w:val="8A0066"/>
                                          <w:sz w:val="17"/>
                                          <w:szCs w:val="17"/>
                                        </w:rPr>
                                        <w:br/>
                                      </w:r>
                                    </w:hyperlink>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Jeugdwerkloosheid: Nieuwe ambities in plannen van aanpak regio’s</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Alle 35 arbeidsmarktregio’s (gemeenten en UWV) hebben binnen de gestelde termijn de update van hun plan van aanpak </w:t>
                                    </w:r>
                                    <w:r>
                                      <w:rPr>
                                        <w:rFonts w:ascii="Arial" w:eastAsia="Times New Roman" w:hAnsi="Arial" w:cs="Arial"/>
                                        <w:i/>
                                        <w:iCs/>
                                        <w:color w:val="58585A"/>
                                        <w:sz w:val="17"/>
                                        <w:szCs w:val="17"/>
                                      </w:rPr>
                                      <w:t>Samen naar een werkende toekomst - Matchen op werk</w:t>
                                    </w:r>
                                    <w:r>
                                      <w:rPr>
                                        <w:rFonts w:ascii="Arial" w:eastAsia="Times New Roman" w:hAnsi="Arial" w:cs="Arial"/>
                                        <w:color w:val="58585A"/>
                                        <w:sz w:val="17"/>
                                        <w:szCs w:val="17"/>
                                      </w:rPr>
                                      <w:t xml:space="preserve"> voor de aanpak van jeugdwerkloosheid ingediend. In de update van de plannen staat onder andere hoeveel jongeren met een uitkering en hoeveel jongeren zonder startkwalificatie (als gevolg van schooluitval) elke regio het komend jaar wil matchen op werk.</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24" w:tgtFrame="_blank" w:history="1">
                                      <w:r>
                                        <w:rPr>
                                          <w:rStyle w:val="Hyperlink"/>
                                          <w:rFonts w:ascii="Arial" w:eastAsia="Times New Roman" w:hAnsi="Arial" w:cs="Arial"/>
                                          <w:b/>
                                          <w:bCs/>
                                          <w:color w:val="8A0066"/>
                                          <w:sz w:val="17"/>
                                          <w:szCs w:val="17"/>
                                        </w:rPr>
                                        <w:t>Bericht JWL &gt;&gt;</w:t>
                                      </w:r>
                                    </w:hyperlink>
                                    <w:hyperlink r:id="rId25" w:tgtFrame="_blank" w:history="1">
                                      <w:r>
                                        <w:rPr>
                                          <w:rFonts w:ascii="Arial" w:eastAsia="Times New Roman" w:hAnsi="Arial" w:cs="Arial"/>
                                          <w:b/>
                                          <w:bCs/>
                                          <w:color w:val="8A0066"/>
                                          <w:sz w:val="17"/>
                                          <w:szCs w:val="17"/>
                                        </w:rPr>
                                        <w:br/>
                                      </w:r>
                                    </w:hyperlink>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Inspectie SZW: Samenwerking werkgevers, gemeenten en UWV nog onvoldoende</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In de programmarapportage </w:t>
                                    </w:r>
                                    <w:r>
                                      <w:rPr>
                                        <w:rFonts w:ascii="Arial" w:eastAsia="Times New Roman" w:hAnsi="Arial" w:cs="Arial"/>
                                        <w:i/>
                                        <w:iCs/>
                                        <w:color w:val="58585A"/>
                                        <w:sz w:val="17"/>
                                        <w:szCs w:val="17"/>
                                      </w:rPr>
                                      <w:t>Werk aan de… uitvoering,</w:t>
                                    </w:r>
                                    <w:r>
                                      <w:rPr>
                                        <w:rFonts w:ascii="Arial" w:eastAsia="Times New Roman" w:hAnsi="Arial" w:cs="Arial"/>
                                        <w:color w:val="58585A"/>
                                        <w:sz w:val="17"/>
                                        <w:szCs w:val="17"/>
                                      </w:rPr>
                                      <w:t xml:space="preserve"> beschrijft de Inspectie SZW de bevindingen naar de samenwerking bij werkgeversdienstverlening en arbeidsmarktbeleid in de 35 arbeidsmarktregio’s. De </w:t>
                                    </w:r>
                                    <w:r>
                                      <w:rPr>
                                        <w:rFonts w:ascii="Arial" w:eastAsia="Times New Roman" w:hAnsi="Arial" w:cs="Arial"/>
                                        <w:color w:val="58585A"/>
                                        <w:sz w:val="17"/>
                                        <w:szCs w:val="17"/>
                                      </w:rPr>
                                      <w:lastRenderedPageBreak/>
                                      <w:t>Inspectie constateert dat de samenwerking met werkgevers en de samenwerking tussen gemeenten en UWV nog onvoldoende vorm krijgt. In het rapport signaleert de Inspectie risico’s voor het realiseren van de doelstellingen van de Participatiewet en de Wet banenafspraak. Daarom dringt ze aan op een krachtige impuls om de kwaliteit van de uitvoering te verbeteren. Voor gemeenten, UWV, werkgevers en andere partijen die een rol spelen op de regionale arbeidsmarkt liggen er kansen om de aantrekkende economie en arbeidsmarkt beter te benutten, om zo meer mensen aan het werk te helpen.</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26" w:tgtFrame="_blank" w:history="1">
                                      <w:r>
                                        <w:rPr>
                                          <w:rStyle w:val="Hyperlink"/>
                                          <w:rFonts w:ascii="Arial" w:eastAsia="Times New Roman" w:hAnsi="Arial" w:cs="Arial"/>
                                          <w:b/>
                                          <w:bCs/>
                                          <w:color w:val="8A0066"/>
                                          <w:sz w:val="17"/>
                                          <w:szCs w:val="17"/>
                                        </w:rPr>
                                        <w:t>Bericht Inspectie SZW &gt;&gt;</w:t>
                                      </w:r>
                                      <w:r>
                                        <w:rPr>
                                          <w:rFonts w:ascii="Arial" w:eastAsia="Times New Roman" w:hAnsi="Arial" w:cs="Arial"/>
                                          <w:b/>
                                          <w:bCs/>
                                          <w:color w:val="8A0066"/>
                                          <w:sz w:val="17"/>
                                          <w:szCs w:val="17"/>
                                        </w:rPr>
                                        <w:br/>
                                      </w:r>
                                    </w:hyperlink>
                                    <w:hyperlink r:id="rId27" w:tgtFrame="_blank" w:history="1">
                                      <w:r>
                                        <w:rPr>
                                          <w:rStyle w:val="Hyperlink"/>
                                          <w:rFonts w:ascii="Arial" w:eastAsia="Times New Roman" w:hAnsi="Arial" w:cs="Arial"/>
                                          <w:b/>
                                          <w:bCs/>
                                          <w:color w:val="8A0066"/>
                                          <w:sz w:val="17"/>
                                          <w:szCs w:val="17"/>
                                        </w:rPr>
                                        <w:t>Bericht Nu.nl &gt;&gt;</w:t>
                                      </w:r>
                                    </w:hyperlink>
                                    <w:hyperlink r:id="rId28" w:tgtFrame="_blank" w:history="1">
                                      <w:r>
                                        <w:rPr>
                                          <w:rFonts w:ascii="Arial" w:eastAsia="Times New Roman" w:hAnsi="Arial" w:cs="Arial"/>
                                          <w:b/>
                                          <w:bCs/>
                                          <w:color w:val="8A0066"/>
                                          <w:sz w:val="17"/>
                                          <w:szCs w:val="17"/>
                                        </w:rPr>
                                        <w:br/>
                                      </w:r>
                                    </w:hyperlink>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lastRenderedPageBreak/>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Brede aanpak voor gelijke kansen in het onderwijs</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Met een investering van €87 miljoen de komende drie jaar gaan minister Bussemaker en staatssecretaris Dekker, samen met betrokkenen binnen en buiten het onderwijs, bevorderen dat kinderen met gelijke talenten ook gelijke kansen krijgen in het onderwijs. Vanaf 2020 is er €26 miljoen structureel beschikbaar. Ook in de overgang van mbo naar hbo wordt geïnvesteerd: €7,5 miljoen structureel. Daarnaast is er specifiek budget (€2,5 miljoen) voor </w:t>
                                    </w:r>
                                    <w:proofErr w:type="spellStart"/>
                                    <w:r>
                                      <w:rPr>
                                        <w:rFonts w:ascii="Arial" w:eastAsia="Times New Roman" w:hAnsi="Arial" w:cs="Arial"/>
                                        <w:color w:val="58585A"/>
                                        <w:sz w:val="17"/>
                                        <w:szCs w:val="17"/>
                                      </w:rPr>
                                      <w:t>mbo’ers</w:t>
                                    </w:r>
                                    <w:proofErr w:type="spellEnd"/>
                                    <w:r>
                                      <w:rPr>
                                        <w:rFonts w:ascii="Arial" w:eastAsia="Times New Roman" w:hAnsi="Arial" w:cs="Arial"/>
                                        <w:color w:val="58585A"/>
                                        <w:sz w:val="17"/>
                                        <w:szCs w:val="17"/>
                                      </w:rPr>
                                      <w:t xml:space="preserve"> die naar de Pabo willen. Verder is er extra geld (€4 miljoen) om </w:t>
                                    </w:r>
                                    <w:hyperlink r:id="rId29" w:tgtFrame="_blank" w:tooltip="" w:history="1">
                                      <w:r>
                                        <w:rPr>
                                          <w:rStyle w:val="Hyperlink"/>
                                          <w:rFonts w:ascii="Arial" w:eastAsia="Times New Roman" w:hAnsi="Arial" w:cs="Arial"/>
                                          <w:color w:val="8A0066"/>
                                          <w:sz w:val="17"/>
                                          <w:szCs w:val="17"/>
                                        </w:rPr>
                                        <w:t>mbo-studenten te stimuleren om te stapelen</w:t>
                                      </w:r>
                                    </w:hyperlink>
                                    <w:r>
                                      <w:rPr>
                                        <w:rFonts w:ascii="Arial" w:eastAsia="Times New Roman" w:hAnsi="Arial" w:cs="Arial"/>
                                        <w:color w:val="58585A"/>
                                        <w:sz w:val="17"/>
                                        <w:szCs w:val="17"/>
                                      </w:rPr>
                                      <w:t> (op een hoger niveau door te leren).</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30" w:tgtFrame="_blank" w:history="1">
                                      <w:r>
                                        <w:rPr>
                                          <w:rStyle w:val="Hyperlink"/>
                                          <w:rFonts w:ascii="Arial" w:eastAsia="Times New Roman" w:hAnsi="Arial" w:cs="Arial"/>
                                          <w:b/>
                                          <w:bCs/>
                                          <w:color w:val="8A0066"/>
                                          <w:sz w:val="17"/>
                                          <w:szCs w:val="17"/>
                                        </w:rPr>
                                        <w:t>Bericht OCW &gt;&gt;</w:t>
                                      </w:r>
                                      <w:r>
                                        <w:rPr>
                                          <w:rFonts w:ascii="Arial" w:eastAsia="Times New Roman" w:hAnsi="Arial" w:cs="Arial"/>
                                          <w:b/>
                                          <w:bCs/>
                                          <w:color w:val="8A0066"/>
                                          <w:sz w:val="17"/>
                                          <w:szCs w:val="17"/>
                                        </w:rPr>
                                        <w:br/>
                                      </w:r>
                                    </w:hyperlink>
                                    <w:hyperlink r:id="rId31" w:tgtFrame="_blank" w:history="1">
                                      <w:r>
                                        <w:rPr>
                                          <w:rStyle w:val="Hyperlink"/>
                                          <w:rFonts w:ascii="Arial" w:eastAsia="Times New Roman" w:hAnsi="Arial" w:cs="Arial"/>
                                          <w:b/>
                                          <w:bCs/>
                                          <w:color w:val="8A0066"/>
                                          <w:sz w:val="17"/>
                                          <w:szCs w:val="17"/>
                                        </w:rPr>
                                        <w:t>Kamerbrief OCW &gt;&gt;</w:t>
                                      </w:r>
                                    </w:hyperlink>
                                    <w:hyperlink r:id="rId32" w:tgtFrame="_blank" w:history="1">
                                      <w:r>
                                        <w:rPr>
                                          <w:rFonts w:ascii="Arial" w:eastAsia="Times New Roman" w:hAnsi="Arial" w:cs="Arial"/>
                                          <w:b/>
                                          <w:bCs/>
                                          <w:color w:val="8A0066"/>
                                          <w:sz w:val="17"/>
                                          <w:szCs w:val="17"/>
                                        </w:rPr>
                                        <w:br/>
                                      </w:r>
                                    </w:hyperlink>
                                    <w:hyperlink r:id="rId33" w:tgtFrame="_blank" w:history="1">
                                      <w:r>
                                        <w:rPr>
                                          <w:rStyle w:val="Hyperlink"/>
                                          <w:rFonts w:ascii="Arial" w:eastAsia="Times New Roman" w:hAnsi="Arial" w:cs="Arial"/>
                                          <w:b/>
                                          <w:bCs/>
                                          <w:color w:val="8A0066"/>
                                          <w:sz w:val="17"/>
                                          <w:szCs w:val="17"/>
                                        </w:rPr>
                                        <w:t xml:space="preserve">Bericht MBO </w:t>
                                      </w:r>
                                      <w:proofErr w:type="spellStart"/>
                                      <w:r>
                                        <w:rPr>
                                          <w:rStyle w:val="Hyperlink"/>
                                          <w:rFonts w:ascii="Arial" w:eastAsia="Times New Roman" w:hAnsi="Arial" w:cs="Arial"/>
                                          <w:b/>
                                          <w:bCs/>
                                          <w:color w:val="8A0066"/>
                                          <w:sz w:val="17"/>
                                          <w:szCs w:val="17"/>
                                        </w:rPr>
                                        <w:t>today</w:t>
                                      </w:r>
                                      <w:proofErr w:type="spellEnd"/>
                                      <w:r>
                                        <w:rPr>
                                          <w:rStyle w:val="Hyperlink"/>
                                          <w:rFonts w:ascii="Arial" w:eastAsia="Times New Roman" w:hAnsi="Arial" w:cs="Arial"/>
                                          <w:b/>
                                          <w:bCs/>
                                          <w:color w:val="8A0066"/>
                                          <w:sz w:val="17"/>
                                          <w:szCs w:val="17"/>
                                        </w:rPr>
                                        <w:t xml:space="preserve"> &gt;&gt;</w:t>
                                      </w:r>
                                      <w:r>
                                        <w:rPr>
                                          <w:rFonts w:ascii="Arial" w:eastAsia="Times New Roman" w:hAnsi="Arial" w:cs="Arial"/>
                                          <w:b/>
                                          <w:bCs/>
                                          <w:color w:val="8A0066"/>
                                          <w:sz w:val="17"/>
                                          <w:szCs w:val="17"/>
                                        </w:rPr>
                                        <w:br/>
                                      </w:r>
                                    </w:hyperlink>
                                    <w:hyperlink r:id="rId34" w:tgtFrame="_blank" w:history="1">
                                      <w:r>
                                        <w:rPr>
                                          <w:rStyle w:val="Hyperlink"/>
                                          <w:rFonts w:ascii="Arial" w:eastAsia="Times New Roman" w:hAnsi="Arial" w:cs="Arial"/>
                                          <w:b/>
                                          <w:bCs/>
                                          <w:color w:val="8A0066"/>
                                          <w:sz w:val="17"/>
                                          <w:szCs w:val="17"/>
                                        </w:rPr>
                                        <w:t>Bericht Trouw &gt;&gt;</w:t>
                                      </w:r>
                                      <w:r>
                                        <w:rPr>
                                          <w:rFonts w:ascii="Arial" w:eastAsia="Times New Roman" w:hAnsi="Arial" w:cs="Arial"/>
                                          <w:b/>
                                          <w:bCs/>
                                          <w:color w:val="8A0066"/>
                                          <w:sz w:val="17"/>
                                          <w:szCs w:val="17"/>
                                        </w:rPr>
                                        <w:br/>
                                      </w:r>
                                    </w:hyperlink>
                                    <w:hyperlink r:id="rId35" w:tgtFrame="_blank" w:history="1">
                                      <w:r>
                                        <w:rPr>
                                          <w:rStyle w:val="Hyperlink"/>
                                          <w:rFonts w:ascii="Arial" w:eastAsia="Times New Roman" w:hAnsi="Arial" w:cs="Arial"/>
                                          <w:b/>
                                          <w:bCs/>
                                          <w:color w:val="8A0066"/>
                                          <w:sz w:val="17"/>
                                          <w:szCs w:val="17"/>
                                        </w:rPr>
                                        <w:t>Bericht MBO Raad &gt;&gt;</w:t>
                                      </w:r>
                                    </w:hyperlink>
                                    <w:hyperlink r:id="rId36" w:tgtFrame="_blank" w:history="1">
                                      <w:r>
                                        <w:rPr>
                                          <w:rFonts w:ascii="Arial" w:eastAsia="Times New Roman" w:hAnsi="Arial" w:cs="Arial"/>
                                          <w:b/>
                                          <w:bCs/>
                                          <w:color w:val="8A0066"/>
                                          <w:sz w:val="17"/>
                                          <w:szCs w:val="17"/>
                                        </w:rPr>
                                        <w:br/>
                                      </w:r>
                                    </w:hyperlink>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VGN en SBB ondertekenen samenwerkingsovereenkomst voor het Boris Praktijkloket</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Op 2 november ondertekenden Hans Timmerman van de Vereniging Gehandicaptenzorg Nederland (VGN) en algemeen directeur SBB André Timmermans een samenwerkingsovereenkomst voor het gebruik van het Boris Praktijkloket door de gehandicaptensector. SBB maakt zich al langer sterk voor de aansluiting tussen onderwijs en arbeidsmarkt voor jongeren met een beperking. Via het Boris Praktijkloket kunnen scholen voor praktijkonderwijs en voortgezet speciaal onderwijs een praktijkverklaring aanvragen voor hun leerlingen. De verklaringen worden door participerende brancheorganisaties erkend als een bewijs van vakbekwaamheid.</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37" w:tgtFrame="_blank" w:history="1">
                                      <w:r>
                                        <w:rPr>
                                          <w:rStyle w:val="Hyperlink"/>
                                          <w:rFonts w:ascii="Arial" w:eastAsia="Times New Roman" w:hAnsi="Arial" w:cs="Arial"/>
                                          <w:b/>
                                          <w:bCs/>
                                          <w:color w:val="8A0066"/>
                                          <w:sz w:val="17"/>
                                          <w:szCs w:val="17"/>
                                        </w:rPr>
                                        <w:t>Bericht SBB &gt;&gt;</w:t>
                                      </w:r>
                                    </w:hyperlink>
                                    <w:hyperlink r:id="rId38" w:tgtFrame="_blank" w:history="1">
                                      <w:r>
                                        <w:rPr>
                                          <w:rFonts w:ascii="Arial" w:eastAsia="Times New Roman" w:hAnsi="Arial" w:cs="Arial"/>
                                          <w:b/>
                                          <w:bCs/>
                                          <w:color w:val="8A0066"/>
                                          <w:sz w:val="17"/>
                                          <w:szCs w:val="17"/>
                                        </w:rPr>
                                        <w:br/>
                                      </w:r>
                                    </w:hyperlink>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MKB: Meer geld en eigen regisseur voor technisch vmbo</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Het kabinet moet dringend meer investeren in het technische vmbo; meer geld en een landelijke regisseur die tot taak heeft om het technisch vmbo weer succesvol te maken. Dat staat in de petitie die voorzitter Michaël van </w:t>
                                    </w:r>
                                    <w:proofErr w:type="spellStart"/>
                                    <w:r>
                                      <w:rPr>
                                        <w:rFonts w:ascii="Arial" w:eastAsia="Times New Roman" w:hAnsi="Arial" w:cs="Arial"/>
                                        <w:color w:val="58585A"/>
                                        <w:sz w:val="17"/>
                                        <w:szCs w:val="17"/>
                                      </w:rPr>
                                      <w:t>Straalen</w:t>
                                    </w:r>
                                    <w:proofErr w:type="spellEnd"/>
                                    <w:r>
                                      <w:rPr>
                                        <w:rFonts w:ascii="Arial" w:eastAsia="Times New Roman" w:hAnsi="Arial" w:cs="Arial"/>
                                        <w:color w:val="58585A"/>
                                        <w:sz w:val="17"/>
                                        <w:szCs w:val="17"/>
                                      </w:rPr>
                                      <w:t xml:space="preserve"> van MKB-Nederland in Den Haag namens de technische branches, waaronder Bouwend Nederland, en de technische platforms van het vmbo, aanbiedt aan de vaste Kamercommissie voor Onderwijs. Mede door de ontoereikende bekostiging verdwijnen steeds meer technische afdelingen op vmbo-scholen.</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39" w:tgtFrame="_blank" w:history="1">
                                      <w:r>
                                        <w:rPr>
                                          <w:rStyle w:val="Hyperlink"/>
                                          <w:rFonts w:ascii="Arial" w:eastAsia="Times New Roman" w:hAnsi="Arial" w:cs="Arial"/>
                                          <w:b/>
                                          <w:bCs/>
                                          <w:color w:val="8A0066"/>
                                          <w:sz w:val="17"/>
                                          <w:szCs w:val="17"/>
                                        </w:rPr>
                                        <w:t>Bericht Bouwend Nederland &gt;&gt;</w:t>
                                      </w:r>
                                    </w:hyperlink>
                                    <w:hyperlink r:id="rId40" w:tgtFrame="_blank" w:history="1">
                                      <w:r>
                                        <w:rPr>
                                          <w:rFonts w:ascii="Arial" w:eastAsia="Times New Roman" w:hAnsi="Arial" w:cs="Arial"/>
                                          <w:b/>
                                          <w:bCs/>
                                          <w:color w:val="8A0066"/>
                                          <w:sz w:val="17"/>
                                          <w:szCs w:val="17"/>
                                        </w:rPr>
                                        <w:br/>
                                      </w:r>
                                    </w:hyperlink>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Excellentie: de eerste ervaringen van vakscholen</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In het schooljaar 2015-2016 hebben vier vakscholen in pilots geëxperimenteerd met excellentieprogramma’s voor hun meest getalenteerde en gemotiveerde studenten. De eerste ervaringen zijn zonder meer positief. Dat is te lezen in de rapportage </w:t>
                                    </w:r>
                                    <w:r>
                                      <w:rPr>
                                        <w:rFonts w:ascii="Arial" w:eastAsia="Times New Roman" w:hAnsi="Arial" w:cs="Arial"/>
                                        <w:i/>
                                        <w:iCs/>
                                        <w:color w:val="58585A"/>
                                        <w:sz w:val="17"/>
                                        <w:szCs w:val="17"/>
                                      </w:rPr>
                                      <w:t>Excellentie in het mbo. Ervaringen vakscholen 2015-2016</w:t>
                                    </w:r>
                                    <w:r>
                                      <w:rPr>
                                        <w:rFonts w:ascii="Arial" w:eastAsia="Times New Roman" w:hAnsi="Arial" w:cs="Arial"/>
                                        <w:color w:val="58585A"/>
                                        <w:sz w:val="17"/>
                                        <w:szCs w:val="17"/>
                                      </w:rPr>
                                      <w:t>. De rapportage is een vervolg op een eerdere publicatie over de plannen van de vakscholen. </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41" w:tgtFrame="_blank" w:history="1">
                                      <w:r>
                                        <w:rPr>
                                          <w:rStyle w:val="Hyperlink"/>
                                          <w:rFonts w:ascii="Arial" w:eastAsia="Times New Roman" w:hAnsi="Arial" w:cs="Arial"/>
                                          <w:b/>
                                          <w:bCs/>
                                          <w:color w:val="8A0066"/>
                                          <w:sz w:val="17"/>
                                          <w:szCs w:val="17"/>
                                        </w:rPr>
                                        <w:t>Bericht MBO in Bedrijf &gt;&gt;</w:t>
                                      </w:r>
                                      <w:r>
                                        <w:rPr>
                                          <w:rFonts w:ascii="Arial" w:eastAsia="Times New Roman" w:hAnsi="Arial" w:cs="Arial"/>
                                          <w:b/>
                                          <w:bCs/>
                                          <w:color w:val="8A0066"/>
                                          <w:sz w:val="17"/>
                                          <w:szCs w:val="17"/>
                                        </w:rPr>
                                        <w:br/>
                                      </w:r>
                                    </w:hyperlink>
                                    <w:hyperlink r:id="rId42" w:tgtFrame="_blank" w:history="1">
                                      <w:r>
                                        <w:rPr>
                                          <w:rStyle w:val="Hyperlink"/>
                                          <w:rFonts w:ascii="Arial" w:eastAsia="Times New Roman" w:hAnsi="Arial" w:cs="Arial"/>
                                          <w:b/>
                                          <w:bCs/>
                                          <w:color w:val="8A0066"/>
                                          <w:sz w:val="17"/>
                                          <w:szCs w:val="17"/>
                                        </w:rPr>
                                        <w:t xml:space="preserve">Bericht MBO </w:t>
                                      </w:r>
                                      <w:proofErr w:type="spellStart"/>
                                      <w:r>
                                        <w:rPr>
                                          <w:rStyle w:val="Hyperlink"/>
                                          <w:rFonts w:ascii="Arial" w:eastAsia="Times New Roman" w:hAnsi="Arial" w:cs="Arial"/>
                                          <w:b/>
                                          <w:bCs/>
                                          <w:color w:val="8A0066"/>
                                          <w:sz w:val="17"/>
                                          <w:szCs w:val="17"/>
                                        </w:rPr>
                                        <w:t>today</w:t>
                                      </w:r>
                                      <w:proofErr w:type="spellEnd"/>
                                      <w:r>
                                        <w:rPr>
                                          <w:rStyle w:val="Hyperlink"/>
                                          <w:rFonts w:ascii="Arial" w:eastAsia="Times New Roman" w:hAnsi="Arial" w:cs="Arial"/>
                                          <w:b/>
                                          <w:bCs/>
                                          <w:color w:val="8A0066"/>
                                          <w:sz w:val="17"/>
                                          <w:szCs w:val="17"/>
                                        </w:rPr>
                                        <w:t xml:space="preserve"> &gt;&gt;</w:t>
                                      </w:r>
                                    </w:hyperlink>
                                    <w:hyperlink r:id="rId43" w:tgtFrame="_blank" w:history="1">
                                      <w:r>
                                        <w:rPr>
                                          <w:rFonts w:ascii="Arial" w:eastAsia="Times New Roman" w:hAnsi="Arial" w:cs="Arial"/>
                                          <w:b/>
                                          <w:bCs/>
                                          <w:color w:val="8A0066"/>
                                          <w:sz w:val="17"/>
                                          <w:szCs w:val="17"/>
                                        </w:rPr>
                                        <w:br/>
                                      </w:r>
                                    </w:hyperlink>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lastRenderedPageBreak/>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Debat Tweede Kamer over Onderwijsbegroting</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De Kamer bespreekt deze week de Onderwijsbegroting van minister Bussemaker en staatssecretaris Dekker. Woordvoerders kijken ook terug op de afgelopen vier jaar. Wat zijn de resultaten van het beleid van Bussemaker en Dekker? Het oordeel daarover verschilt. Vanmiddag vanaf 17.00 uur gaat het debat verder met de reactie van de minister en de staatssecretaris. Dit is live te volgen.</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44" w:tgtFrame="_blank" w:history="1">
                                      <w:r>
                                        <w:rPr>
                                          <w:rStyle w:val="Hyperlink"/>
                                          <w:rFonts w:ascii="Arial" w:eastAsia="Times New Roman" w:hAnsi="Arial" w:cs="Arial"/>
                                          <w:b/>
                                          <w:bCs/>
                                          <w:color w:val="8A0066"/>
                                          <w:sz w:val="17"/>
                                          <w:szCs w:val="17"/>
                                        </w:rPr>
                                        <w:t>Debat in het kort &gt;&gt;</w:t>
                                      </w:r>
                                      <w:r>
                                        <w:rPr>
                                          <w:rFonts w:ascii="Arial" w:eastAsia="Times New Roman" w:hAnsi="Arial" w:cs="Arial"/>
                                          <w:b/>
                                          <w:bCs/>
                                          <w:color w:val="8A0066"/>
                                          <w:sz w:val="17"/>
                                          <w:szCs w:val="17"/>
                                        </w:rPr>
                                        <w:br/>
                                      </w:r>
                                    </w:hyperlink>
                                    <w:hyperlink r:id="rId45" w:tgtFrame="_blank" w:history="1">
                                      <w:r>
                                        <w:rPr>
                                          <w:rStyle w:val="Hyperlink"/>
                                          <w:rFonts w:ascii="Arial" w:eastAsia="Times New Roman" w:hAnsi="Arial" w:cs="Arial"/>
                                          <w:b/>
                                          <w:bCs/>
                                          <w:color w:val="8A0066"/>
                                          <w:sz w:val="17"/>
                                          <w:szCs w:val="17"/>
                                        </w:rPr>
                                        <w:t>Beantwoording vragen eerste termijn Onderwijsbegroting &gt;&gt;</w:t>
                                      </w:r>
                                    </w:hyperlink>
                                    <w:hyperlink r:id="rId46" w:tgtFrame="_blank" w:history="1">
                                      <w:r>
                                        <w:rPr>
                                          <w:rFonts w:ascii="Arial" w:eastAsia="Times New Roman" w:hAnsi="Arial" w:cs="Arial"/>
                                          <w:b/>
                                          <w:bCs/>
                                          <w:color w:val="8A0066"/>
                                          <w:sz w:val="17"/>
                                          <w:szCs w:val="17"/>
                                        </w:rPr>
                                        <w:br/>
                                      </w:r>
                                    </w:hyperlink>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tcMar>
                                      <w:top w:w="0" w:type="dxa"/>
                                      <w:left w:w="0" w:type="dxa"/>
                                      <w:bottom w:w="90" w:type="dxa"/>
                                      <w:right w:w="0" w:type="dxa"/>
                                    </w:tcMar>
                                    <w:vAlign w:val="center"/>
                                    <w:hideMark/>
                                  </w:tcPr>
                                  <w:p w:rsidR="004A1A83" w:rsidRDefault="004A1A83">
                                    <w:pPr>
                                      <w:rPr>
                                        <w:rFonts w:ascii="Arial" w:eastAsia="Times New Roman" w:hAnsi="Arial" w:cs="Arial"/>
                                        <w:b/>
                                        <w:bCs/>
                                        <w:caps/>
                                        <w:color w:val="8A0066"/>
                                        <w:sz w:val="23"/>
                                        <w:szCs w:val="23"/>
                                      </w:rPr>
                                    </w:pPr>
                                    <w:r>
                                      <w:rPr>
                                        <w:rFonts w:ascii="Arial" w:eastAsia="Times New Roman" w:hAnsi="Arial" w:cs="Arial"/>
                                        <w:b/>
                                        <w:bCs/>
                                        <w:caps/>
                                        <w:color w:val="8A0066"/>
                                        <w:sz w:val="23"/>
                                        <w:szCs w:val="23"/>
                                      </w:rPr>
                                      <w:t>onderzoek en cijfers</w:t>
                                    </w:r>
                                  </w:p>
                                </w:tc>
                              </w:tr>
                              <w:tr w:rsidR="004A1A83">
                                <w:trPr>
                                  <w:tblCellSpacing w:w="0" w:type="dxa"/>
                                </w:trPr>
                                <w:tc>
                                  <w:tcPr>
                                    <w:tcW w:w="0" w:type="auto"/>
                                    <w:hideMark/>
                                  </w:tcPr>
                                  <w:tbl>
                                    <w:tblPr>
                                      <w:tblW w:w="2566" w:type="dxa"/>
                                      <w:tblCellSpacing w:w="0" w:type="dxa"/>
                                      <w:tblCellMar>
                                        <w:left w:w="0" w:type="dxa"/>
                                        <w:right w:w="0" w:type="dxa"/>
                                      </w:tblCellMar>
                                      <w:tblLook w:val="04A0" w:firstRow="1" w:lastRow="0" w:firstColumn="1" w:lastColumn="0" w:noHBand="0" w:noVBand="1"/>
                                    </w:tblPr>
                                    <w:tblGrid>
                                      <w:gridCol w:w="2566"/>
                                    </w:tblGrid>
                                    <w:tr w:rsidR="004A1A83">
                                      <w:trPr>
                                        <w:trHeight w:val="262"/>
                                        <w:tblCellSpacing w:w="0" w:type="dxa"/>
                                      </w:trPr>
                                      <w:tc>
                                        <w:tcPr>
                                          <w:tcW w:w="0" w:type="auto"/>
                                          <w:tcBorders>
                                            <w:top w:val="single" w:sz="6" w:space="0" w:color="8A0066"/>
                                            <w:left w:val="nil"/>
                                            <w:bottom w:val="nil"/>
                                            <w:right w:val="single" w:sz="6" w:space="0" w:color="8A0066"/>
                                          </w:tcBorders>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rPr>
                                        <w:rFonts w:eastAsia="Times New Roman"/>
                                        <w:sz w:val="20"/>
                                        <w:szCs w:val="20"/>
                                      </w:rPr>
                                    </w:pPr>
                                  </w:p>
                                </w:tc>
                              </w:tr>
                              <w:tr w:rsidR="004A1A83">
                                <w:trPr>
                                  <w:trHeight w:val="367"/>
                                  <w:tblCellSpacing w:w="0" w:type="dxa"/>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rPr>
                                  <w:rFonts w:eastAsia="Times New Roman"/>
                                  <w:sz w:val="20"/>
                                  <w:szCs w:val="20"/>
                                </w:rPr>
                              </w:pP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056"/>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6"/>
                                <w:gridCol w:w="5105"/>
                              </w:tblGrid>
                              <w:tr w:rsidR="004A1A83">
                                <w:trPr>
                                  <w:trHeight w:val="236"/>
                                  <w:tblCellSpacing w:w="0" w:type="dxa"/>
                                </w:trPr>
                                <w:tc>
                                  <w:tcPr>
                                    <w:tcW w:w="0" w:type="auto"/>
                                    <w:hideMark/>
                                  </w:tcPr>
                                  <w:p w:rsidR="004A1A83" w:rsidRDefault="004A1A83">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5" name="Afbeelding 5" descr="http://images.m15.mailplus.nl/mailing315291273/signaal_werkloze_jongere_196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15.mailplus.nl/mailing315291273/signaal_werkloze_jongere_196_14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Jongeren zonder startkwalificatie vaker geen baan</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Steeds meer niet-onderwijsvolgende jongeren zonder startkwalificatie hebben geen baan. Had in 2008 ruim 70 procent van deze jongeren een baan, inmiddels is dat gedaald naar minder dan 60 procent. Ook jongeren mét een startkwalificatie hebben minder vaak een baan dan voor de economische crisis. Sinds 2014 werken deze jongeren wel weer iets vaker en had bijna 90 procent een baan in het tweede kwartaal van 2016. Dat meldt CBS op 3 november.</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48" w:tgtFrame="_blank" w:history="1">
                                            <w:r>
                                              <w:rPr>
                                                <w:rStyle w:val="Hyperlink"/>
                                                <w:rFonts w:ascii="Arial" w:eastAsia="Times New Roman" w:hAnsi="Arial" w:cs="Arial"/>
                                                <w:b/>
                                                <w:bCs/>
                                                <w:color w:val="8A0066"/>
                                                <w:sz w:val="17"/>
                                                <w:szCs w:val="17"/>
                                              </w:rPr>
                                              <w:t>Bericht CBS</w:t>
                                            </w:r>
                                          </w:hyperlink>
                                          <w:r>
                                            <w:rPr>
                                              <w:rFonts w:ascii="Arial" w:eastAsia="Times New Roman" w:hAnsi="Arial" w:cs="Arial"/>
                                              <w:b/>
                                              <w:bCs/>
                                              <w:color w:val="8A0066"/>
                                              <w:sz w:val="17"/>
                                              <w:szCs w:val="17"/>
                                            </w:rPr>
                                            <w:t>&gt;&gt;</w:t>
                                          </w:r>
                                        </w:p>
                                      </w:tc>
                                    </w:tr>
                                  </w:tbl>
                                  <w:p w:rsidR="004A1A83" w:rsidRDefault="004A1A83">
                                    <w:pPr>
                                      <w:rPr>
                                        <w:rFonts w:eastAsia="Times New Roman"/>
                                        <w:sz w:val="20"/>
                                        <w:szCs w:val="20"/>
                                      </w:rPr>
                                    </w:pP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SBB ziet herstel in aantal leerbanen</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In verreweg alle opleidingsrichtingen is er een sterke stijging van het aantal leerbanen dat beschikbaar is voor mbo-studenten, blijkt uit de </w:t>
                                    </w:r>
                                    <w:r>
                                      <w:rPr>
                                        <w:rFonts w:ascii="Arial" w:eastAsia="Times New Roman" w:hAnsi="Arial" w:cs="Arial"/>
                                        <w:i/>
                                        <w:iCs/>
                                        <w:color w:val="58585A"/>
                                        <w:sz w:val="17"/>
                                        <w:szCs w:val="17"/>
                                      </w:rPr>
                                      <w:t>SBB Barometer november 2016</w:t>
                                    </w:r>
                                    <w:r>
                                      <w:rPr>
                                        <w:rFonts w:ascii="Arial" w:eastAsia="Times New Roman" w:hAnsi="Arial" w:cs="Arial"/>
                                        <w:color w:val="58585A"/>
                                        <w:sz w:val="17"/>
                                        <w:szCs w:val="17"/>
                                      </w:rPr>
                                      <w:t>. De stijging is het grootst in Techniek en gebouwde omgeving; Voedsel, groen en gastvrijheid; en Handel. In Zorg, welzijn en sport blijft de stijging van het aantal leerbanen achter. Door bezuinigingen zijn zorginstellingen nog terughoudend.</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49" w:tgtFrame="_blank" w:history="1">
                                      <w:r>
                                        <w:rPr>
                                          <w:rStyle w:val="Hyperlink"/>
                                          <w:rFonts w:ascii="Arial" w:eastAsia="Times New Roman" w:hAnsi="Arial" w:cs="Arial"/>
                                          <w:b/>
                                          <w:bCs/>
                                          <w:color w:val="8A0066"/>
                                          <w:sz w:val="17"/>
                                          <w:szCs w:val="17"/>
                                        </w:rPr>
                                        <w:t>Bericht SBB</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proofErr w:type="spellStart"/>
                                    <w:r>
                                      <w:rPr>
                                        <w:rFonts w:ascii="Arial" w:eastAsia="Times New Roman" w:hAnsi="Arial" w:cs="Arial"/>
                                        <w:b/>
                                        <w:bCs/>
                                        <w:color w:val="8A0066"/>
                                        <w:sz w:val="20"/>
                                        <w:szCs w:val="20"/>
                                      </w:rPr>
                                      <w:t>Ecbo</w:t>
                                    </w:r>
                                    <w:proofErr w:type="spellEnd"/>
                                    <w:r>
                                      <w:rPr>
                                        <w:rFonts w:ascii="Arial" w:eastAsia="Times New Roman" w:hAnsi="Arial" w:cs="Arial"/>
                                        <w:b/>
                                        <w:bCs/>
                                        <w:color w:val="8A0066"/>
                                        <w:sz w:val="20"/>
                                        <w:szCs w:val="20"/>
                                      </w:rPr>
                                      <w:t>: Méér aandacht nodig voor de opbrengsten van het informeel leren</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In het stimuleren van leven lang leren moet er meer aandacht zijn voor de opbrengsten van het informeel leren. Dat concludeert </w:t>
                                    </w:r>
                                    <w:proofErr w:type="spellStart"/>
                                    <w:r>
                                      <w:rPr>
                                        <w:rFonts w:ascii="Arial" w:eastAsia="Times New Roman" w:hAnsi="Arial" w:cs="Arial"/>
                                        <w:color w:val="58585A"/>
                                        <w:sz w:val="17"/>
                                        <w:szCs w:val="17"/>
                                      </w:rPr>
                                      <w:t>ecbo</w:t>
                                    </w:r>
                                    <w:proofErr w:type="spellEnd"/>
                                    <w:r>
                                      <w:rPr>
                                        <w:rFonts w:ascii="Arial" w:eastAsia="Times New Roman" w:hAnsi="Arial" w:cs="Arial"/>
                                        <w:color w:val="58585A"/>
                                        <w:sz w:val="17"/>
                                        <w:szCs w:val="17"/>
                                      </w:rPr>
                                      <w:t xml:space="preserve"> in het onderzoeksrapport </w:t>
                                    </w:r>
                                    <w:r>
                                      <w:rPr>
                                        <w:rFonts w:ascii="Arial" w:eastAsia="Times New Roman" w:hAnsi="Arial" w:cs="Arial"/>
                                        <w:i/>
                                        <w:iCs/>
                                        <w:color w:val="58585A"/>
                                        <w:sz w:val="17"/>
                                        <w:szCs w:val="17"/>
                                      </w:rPr>
                                      <w:t>Leven lang leren: perspectief vanuit beroep. </w:t>
                                    </w:r>
                                    <w:r>
                                      <w:rPr>
                                        <w:rFonts w:ascii="Arial" w:eastAsia="Times New Roman" w:hAnsi="Arial" w:cs="Arial"/>
                                        <w:color w:val="58585A"/>
                                        <w:sz w:val="17"/>
                                        <w:szCs w:val="17"/>
                                      </w:rPr>
                                      <w:t>Het rapport bestaat uit drie delen: een overzicht van arbeidsmarktontwikkelingen en van beleid om een leven lang leren te stimuleren; een statistische analyse van gegevens over leven lang leren en intersectorale mobiliteit; een casestudie over intersectorale mobiliteit van grafici die zijn overgestapt naar de procesindustrie.</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50" w:tgtFrame="_blank" w:history="1">
                                      <w:r>
                                        <w:rPr>
                                          <w:rStyle w:val="Hyperlink"/>
                                          <w:rFonts w:ascii="Arial" w:eastAsia="Times New Roman" w:hAnsi="Arial" w:cs="Arial"/>
                                          <w:b/>
                                          <w:bCs/>
                                          <w:color w:val="8A0066"/>
                                          <w:sz w:val="17"/>
                                          <w:szCs w:val="17"/>
                                        </w:rPr>
                                        <w:t xml:space="preserve">Bericht </w:t>
                                      </w:r>
                                      <w:proofErr w:type="spellStart"/>
                                      <w:r>
                                        <w:rPr>
                                          <w:rStyle w:val="Hyperlink"/>
                                          <w:rFonts w:ascii="Arial" w:eastAsia="Times New Roman" w:hAnsi="Arial" w:cs="Arial"/>
                                          <w:b/>
                                          <w:bCs/>
                                          <w:color w:val="8A0066"/>
                                          <w:sz w:val="17"/>
                                          <w:szCs w:val="17"/>
                                        </w:rPr>
                                        <w:t>ecbo</w:t>
                                      </w:r>
                                      <w:proofErr w:type="spellEnd"/>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Omscholingsfaciliteiten zijn grootste hiaat in het Nederlandse kennisbeleid</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Robotisering en automatisering veranderen ons werk steeds sneller. Vaak wordt gevreesd voor banenverlies. Toch is dat niet de grootste zorg, volgens Paul </w:t>
                                    </w:r>
                                    <w:proofErr w:type="spellStart"/>
                                    <w:r>
                                      <w:rPr>
                                        <w:rFonts w:ascii="Arial" w:eastAsia="Times New Roman" w:hAnsi="Arial" w:cs="Arial"/>
                                        <w:color w:val="58585A"/>
                                        <w:sz w:val="17"/>
                                        <w:szCs w:val="17"/>
                                      </w:rPr>
                                      <w:t>Schenderling</w:t>
                                    </w:r>
                                    <w:proofErr w:type="spellEnd"/>
                                    <w:r>
                                      <w:rPr>
                                        <w:rFonts w:ascii="Arial" w:eastAsia="Times New Roman" w:hAnsi="Arial" w:cs="Arial"/>
                                        <w:color w:val="58585A"/>
                                        <w:sz w:val="17"/>
                                        <w:szCs w:val="17"/>
                                      </w:rPr>
                                      <w:t xml:space="preserve"> (Wetenschappelijk Instituut </w:t>
                                    </w:r>
                                    <w:r>
                                      <w:rPr>
                                        <w:rFonts w:ascii="Arial" w:eastAsia="Times New Roman" w:hAnsi="Arial" w:cs="Arial"/>
                                        <w:color w:val="58585A"/>
                                        <w:sz w:val="17"/>
                                        <w:szCs w:val="17"/>
                                      </w:rPr>
                                      <w:lastRenderedPageBreak/>
                                      <w:t>(WI) voor het CDA) op de website Sociale Vraagstukken. Het achterblijven van bij- en omscholingsfaciliteiten is urgenter. Vouchers voor onderwijsuren, taakgerichte en verplichte bijscholing moeten de beroepsbevolking gaan klaarstomen voor nieuwe technologische ontwikkelingen.</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51" w:tgtFrame="_blank" w:history="1">
                                      <w:r>
                                        <w:rPr>
                                          <w:rStyle w:val="Hyperlink"/>
                                          <w:rFonts w:ascii="Arial" w:eastAsia="Times New Roman" w:hAnsi="Arial" w:cs="Arial"/>
                                          <w:b/>
                                          <w:bCs/>
                                          <w:color w:val="8A0066"/>
                                          <w:sz w:val="17"/>
                                          <w:szCs w:val="17"/>
                                        </w:rPr>
                                        <w:t>Sociale Vraagstukken</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lastRenderedPageBreak/>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Voortijdige schooluitval mbo in tien jaar gehalveerd. Grote regionale verschillen</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Tussen 2004/’05 en 2014/’15 is de voortijdige schooluitval vanuit het mbo afgenomen van 10,8 procent naar 5,4 procent, blijkt uit recente cijfers van CBS. Veruit de meeste jongeren die voortijdig het onderwijs verlaten, zaten op het mbo (21 duizend). Binnen het mbo verlaten deelnemers in de beroepsbegeleidende leerweg (</w:t>
                                    </w:r>
                                    <w:proofErr w:type="spellStart"/>
                                    <w:r>
                                      <w:rPr>
                                        <w:rFonts w:ascii="Arial" w:eastAsia="Times New Roman" w:hAnsi="Arial" w:cs="Arial"/>
                                        <w:color w:val="58585A"/>
                                        <w:sz w:val="17"/>
                                        <w:szCs w:val="17"/>
                                      </w:rPr>
                                      <w:t>bbl</w:t>
                                    </w:r>
                                    <w:proofErr w:type="spellEnd"/>
                                    <w:r>
                                      <w:rPr>
                                        <w:rFonts w:ascii="Arial" w:eastAsia="Times New Roman" w:hAnsi="Arial" w:cs="Arial"/>
                                        <w:color w:val="58585A"/>
                                        <w:sz w:val="17"/>
                                        <w:szCs w:val="17"/>
                                      </w:rPr>
                                      <w:t xml:space="preserve">) vaker zonder startkwalificatie hun opleiding dan deelnemers in de </w:t>
                                    </w:r>
                                    <w:proofErr w:type="spellStart"/>
                                    <w:r>
                                      <w:rPr>
                                        <w:rFonts w:ascii="Arial" w:eastAsia="Times New Roman" w:hAnsi="Arial" w:cs="Arial"/>
                                        <w:color w:val="58585A"/>
                                        <w:sz w:val="17"/>
                                        <w:szCs w:val="17"/>
                                      </w:rPr>
                                      <w:t>beroepsopleidende</w:t>
                                    </w:r>
                                    <w:proofErr w:type="spellEnd"/>
                                    <w:r>
                                      <w:rPr>
                                        <w:rFonts w:ascii="Arial" w:eastAsia="Times New Roman" w:hAnsi="Arial" w:cs="Arial"/>
                                        <w:color w:val="58585A"/>
                                        <w:sz w:val="17"/>
                                        <w:szCs w:val="17"/>
                                      </w:rPr>
                                      <w:t xml:space="preserve"> leerweg (bol). Er zijn grote regionale verschillen: in Friesland ligt het percentage schooluitvallers op slechts 3,4 procent, in de regio Amsterdam gaat het om zo’n 7 procent.</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52" w:tgtFrame="_blank" w:history="1">
                                      <w:r>
                                        <w:rPr>
                                          <w:rStyle w:val="Hyperlink"/>
                                          <w:rFonts w:ascii="Arial" w:eastAsia="Times New Roman" w:hAnsi="Arial" w:cs="Arial"/>
                                          <w:b/>
                                          <w:bCs/>
                                          <w:color w:val="8A0066"/>
                                          <w:sz w:val="17"/>
                                          <w:szCs w:val="17"/>
                                        </w:rPr>
                                        <w:t>Bericht CBS</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Studiesucces op mbo-scholen neemt verder toe</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Het percentage mbo-studenten dat de opleiding afsluit met een diploma is verder toegenomen tot ongeveer 75 procent. Dat blijkt uit de </w:t>
                                    </w:r>
                                    <w:r>
                                      <w:rPr>
                                        <w:rFonts w:ascii="Arial" w:eastAsia="Times New Roman" w:hAnsi="Arial" w:cs="Arial"/>
                                        <w:i/>
                                        <w:iCs/>
                                        <w:color w:val="58585A"/>
                                        <w:sz w:val="17"/>
                                        <w:szCs w:val="17"/>
                                      </w:rPr>
                                      <w:t>Benchmark middelbaar beroepsonderwijs 2015. Bouwsteen studiesucces</w:t>
                                    </w:r>
                                    <w:r>
                                      <w:rPr>
                                        <w:rFonts w:ascii="Arial" w:eastAsia="Times New Roman" w:hAnsi="Arial" w:cs="Arial"/>
                                        <w:color w:val="58585A"/>
                                        <w:sz w:val="17"/>
                                        <w:szCs w:val="17"/>
                                      </w:rPr>
                                      <w:t xml:space="preserve"> (juli 2016). De rapportage geeft een beeld van de verschillende scores op het jaar- en diplomaresultaat van de gehele sector. Het gaat om het onderwijskundig rendement van alle mbo-scholen. Het jaarresultaat is een algemeen gebruikte indicator om de onderwijskundige opbrengsten van het mbo te meten. De Inspectie van het Onderwijs, DUO-CFI en het ministerie van OCW gebruiken deze indicator om het rendement van het onderwijs van een mbo-school te meten. Over het algemeen behalen de agrarische mbo-scholen het beste diplomaresultaat: gemiddeld heeft meer dan 70 procent van de studenten heeft binnen vier jaar het diploma gehaald.</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53" w:tgtFrame="_blank" w:history="1">
                                      <w:r>
                                        <w:rPr>
                                          <w:rStyle w:val="Hyperlink"/>
                                          <w:rFonts w:ascii="Arial" w:eastAsia="Times New Roman" w:hAnsi="Arial" w:cs="Arial"/>
                                          <w:b/>
                                          <w:bCs/>
                                          <w:color w:val="8A0066"/>
                                          <w:sz w:val="17"/>
                                          <w:szCs w:val="17"/>
                                        </w:rPr>
                                        <w:t>Bericht MBO Raad</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54" w:tgtFrame="_blank" w:history="1">
                                      <w:r>
                                        <w:rPr>
                                          <w:rStyle w:val="Hyperlink"/>
                                          <w:rFonts w:ascii="Arial" w:eastAsia="Times New Roman" w:hAnsi="Arial" w:cs="Arial"/>
                                          <w:b/>
                                          <w:bCs/>
                                          <w:color w:val="8A0066"/>
                                          <w:sz w:val="17"/>
                                          <w:szCs w:val="17"/>
                                        </w:rPr>
                                        <w:t xml:space="preserve">Bericht MBO </w:t>
                                      </w:r>
                                      <w:proofErr w:type="spellStart"/>
                                      <w:r>
                                        <w:rPr>
                                          <w:rStyle w:val="Hyperlink"/>
                                          <w:rFonts w:ascii="Arial" w:eastAsia="Times New Roman" w:hAnsi="Arial" w:cs="Arial"/>
                                          <w:b/>
                                          <w:bCs/>
                                          <w:color w:val="8A0066"/>
                                          <w:sz w:val="17"/>
                                          <w:szCs w:val="17"/>
                                        </w:rPr>
                                        <w:t>today</w:t>
                                      </w:r>
                                      <w:proofErr w:type="spellEnd"/>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 xml:space="preserve">'Zuinige </w:t>
                                    </w:r>
                                    <w:proofErr w:type="spellStart"/>
                                    <w:r>
                                      <w:rPr>
                                        <w:rFonts w:ascii="Arial" w:eastAsia="Times New Roman" w:hAnsi="Arial" w:cs="Arial"/>
                                        <w:b/>
                                        <w:bCs/>
                                        <w:color w:val="8A0066"/>
                                        <w:sz w:val="20"/>
                                        <w:szCs w:val="20"/>
                                      </w:rPr>
                                      <w:t>superinnovatoren</w:t>
                                    </w:r>
                                    <w:proofErr w:type="spellEnd"/>
                                    <w:r>
                                      <w:rPr>
                                        <w:rFonts w:ascii="Arial" w:eastAsia="Times New Roman" w:hAnsi="Arial" w:cs="Arial"/>
                                        <w:b/>
                                        <w:bCs/>
                                        <w:color w:val="8A0066"/>
                                        <w:sz w:val="20"/>
                                        <w:szCs w:val="20"/>
                                      </w:rPr>
                                      <w:t>’ vertrouwen op ervaring en vakmanschap</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In Noord-Nederland bestaat een opvallende groep </w:t>
                                    </w:r>
                                    <w:proofErr w:type="spellStart"/>
                                    <w:r>
                                      <w:rPr>
                                        <w:rFonts w:ascii="Arial" w:eastAsia="Times New Roman" w:hAnsi="Arial" w:cs="Arial"/>
                                        <w:color w:val="58585A"/>
                                        <w:sz w:val="17"/>
                                        <w:szCs w:val="17"/>
                                      </w:rPr>
                                      <w:t>mkb</w:t>
                                    </w:r>
                                    <w:proofErr w:type="spellEnd"/>
                                    <w:r>
                                      <w:rPr>
                                        <w:rFonts w:ascii="Arial" w:eastAsia="Times New Roman" w:hAnsi="Arial" w:cs="Arial"/>
                                        <w:color w:val="58585A"/>
                                        <w:sz w:val="17"/>
                                        <w:szCs w:val="17"/>
                                      </w:rPr>
                                      <w:t xml:space="preserve">-bedrijven die met zeer beperkte investeringen bijzonder innovatief is. Dat concludeert Dries </w:t>
                                    </w:r>
                                    <w:proofErr w:type="spellStart"/>
                                    <w:r>
                                      <w:rPr>
                                        <w:rFonts w:ascii="Arial" w:eastAsia="Times New Roman" w:hAnsi="Arial" w:cs="Arial"/>
                                        <w:color w:val="58585A"/>
                                        <w:sz w:val="17"/>
                                        <w:szCs w:val="17"/>
                                      </w:rPr>
                                      <w:t>Faems</w:t>
                                    </w:r>
                                    <w:proofErr w:type="spellEnd"/>
                                    <w:r>
                                      <w:rPr>
                                        <w:rFonts w:ascii="Arial" w:eastAsia="Times New Roman" w:hAnsi="Arial" w:cs="Arial"/>
                                        <w:color w:val="58585A"/>
                                        <w:sz w:val="17"/>
                                        <w:szCs w:val="17"/>
                                      </w:rPr>
                                      <w:t xml:space="preserve">, hoogleraar Innovatie en Organisatie, in een deelrapport van de </w:t>
                                    </w:r>
                                    <w:r>
                                      <w:rPr>
                                        <w:rFonts w:ascii="Arial" w:eastAsia="Times New Roman" w:hAnsi="Arial" w:cs="Arial"/>
                                        <w:i/>
                                        <w:iCs/>
                                        <w:color w:val="58585A"/>
                                        <w:sz w:val="17"/>
                                        <w:szCs w:val="17"/>
                                      </w:rPr>
                                      <w:t>Noord-Nederlandse Innovatiemonitor</w:t>
                                    </w:r>
                                    <w:r>
                                      <w:rPr>
                                        <w:rFonts w:ascii="Arial" w:eastAsia="Times New Roman" w:hAnsi="Arial" w:cs="Arial"/>
                                        <w:color w:val="58585A"/>
                                        <w:sz w:val="17"/>
                                        <w:szCs w:val="17"/>
                                      </w:rPr>
                                      <w:t xml:space="preserve">. Hij constateert dat 22% van de onderzochte bedrijven een opmerkelijk patroon vertoont: zij boeken met weinig of geen investeringen in onderzoek en ontwikkeling (O&amp;O) toch uitmuntende innovatieresultaten. </w:t>
                                    </w:r>
                                    <w:proofErr w:type="spellStart"/>
                                    <w:r>
                                      <w:rPr>
                                        <w:rFonts w:ascii="Arial" w:eastAsia="Times New Roman" w:hAnsi="Arial" w:cs="Arial"/>
                                        <w:color w:val="58585A"/>
                                        <w:sz w:val="17"/>
                                        <w:szCs w:val="17"/>
                                      </w:rPr>
                                      <w:t>Faems</w:t>
                                    </w:r>
                                    <w:proofErr w:type="spellEnd"/>
                                    <w:r>
                                      <w:rPr>
                                        <w:rFonts w:ascii="Arial" w:eastAsia="Times New Roman" w:hAnsi="Arial" w:cs="Arial"/>
                                        <w:color w:val="58585A"/>
                                        <w:sz w:val="17"/>
                                        <w:szCs w:val="17"/>
                                      </w:rPr>
                                      <w:t xml:space="preserve"> noemt deze ‘nieuwe soort’ in het innovatielandschap ‘de zuinige </w:t>
                                    </w:r>
                                    <w:proofErr w:type="spellStart"/>
                                    <w:r>
                                      <w:rPr>
                                        <w:rFonts w:ascii="Arial" w:eastAsia="Times New Roman" w:hAnsi="Arial" w:cs="Arial"/>
                                        <w:color w:val="58585A"/>
                                        <w:sz w:val="17"/>
                                        <w:szCs w:val="17"/>
                                      </w:rPr>
                                      <w:t>superinnovatoren</w:t>
                                    </w:r>
                                    <w:proofErr w:type="spellEnd"/>
                                    <w:r>
                                      <w:rPr>
                                        <w:rFonts w:ascii="Arial" w:eastAsia="Times New Roman" w:hAnsi="Arial" w:cs="Arial"/>
                                        <w:color w:val="58585A"/>
                                        <w:sz w:val="17"/>
                                        <w:szCs w:val="17"/>
                                      </w:rPr>
                                      <w:t xml:space="preserve">’. Uit voorbeelden blijkt dat vakmanschap van de - vaak laaggeschoolde - werknemers een onmisbare schakel in het ontwikkelingsproces is. Aspecten zoals expertise en vakmanschap zijn moeilijk te vatten in harde indicatoren. Deze meer softe eigenschappen lijken echter wel belangrijk te zijn om te begrijpen hoe sommige bedrijven met beperkte middelen toch uitstekende innovatieresultaten kunnen boeken, constateert hoogleraar </w:t>
                                    </w:r>
                                    <w:proofErr w:type="spellStart"/>
                                    <w:r>
                                      <w:rPr>
                                        <w:rFonts w:ascii="Arial" w:eastAsia="Times New Roman" w:hAnsi="Arial" w:cs="Arial"/>
                                        <w:color w:val="58585A"/>
                                        <w:sz w:val="17"/>
                                        <w:szCs w:val="17"/>
                                      </w:rPr>
                                      <w:t>Faems</w:t>
                                    </w:r>
                                    <w:proofErr w:type="spellEnd"/>
                                    <w:r>
                                      <w:rPr>
                                        <w:rFonts w:ascii="Arial" w:eastAsia="Times New Roman" w:hAnsi="Arial" w:cs="Arial"/>
                                        <w:color w:val="58585A"/>
                                        <w:sz w:val="17"/>
                                        <w:szCs w:val="17"/>
                                      </w:rPr>
                                      <w:t>.</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55" w:tgtFrame="_blank" w:history="1">
                                      <w:r>
                                        <w:rPr>
                                          <w:rStyle w:val="Hyperlink"/>
                                          <w:rFonts w:ascii="Arial" w:eastAsia="Times New Roman" w:hAnsi="Arial" w:cs="Arial"/>
                                          <w:b/>
                                          <w:bCs/>
                                          <w:color w:val="8A0066"/>
                                          <w:sz w:val="17"/>
                                          <w:szCs w:val="17"/>
                                        </w:rPr>
                                        <w:t>Bericht RUG</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tcMar>
                                      <w:top w:w="0" w:type="dxa"/>
                                      <w:left w:w="0" w:type="dxa"/>
                                      <w:bottom w:w="90" w:type="dxa"/>
                                      <w:right w:w="0" w:type="dxa"/>
                                    </w:tcMar>
                                    <w:vAlign w:val="center"/>
                                    <w:hideMark/>
                                  </w:tcPr>
                                  <w:p w:rsidR="004A1A83" w:rsidRDefault="004A1A83">
                                    <w:pPr>
                                      <w:rPr>
                                        <w:rFonts w:ascii="Arial" w:eastAsia="Times New Roman" w:hAnsi="Arial" w:cs="Arial"/>
                                        <w:b/>
                                        <w:bCs/>
                                        <w:caps/>
                                        <w:color w:val="8A0066"/>
                                        <w:sz w:val="23"/>
                                        <w:szCs w:val="23"/>
                                      </w:rPr>
                                    </w:pPr>
                                    <w:r>
                                      <w:rPr>
                                        <w:rFonts w:ascii="Arial" w:eastAsia="Times New Roman" w:hAnsi="Arial" w:cs="Arial"/>
                                        <w:b/>
                                        <w:bCs/>
                                        <w:caps/>
                                        <w:color w:val="8A0066"/>
                                        <w:sz w:val="23"/>
                                        <w:szCs w:val="23"/>
                                      </w:rPr>
                                      <w:t>INTERNATIONAAL</w:t>
                                    </w:r>
                                  </w:p>
                                </w:tc>
                              </w:tr>
                              <w:tr w:rsidR="004A1A83">
                                <w:trPr>
                                  <w:tblCellSpacing w:w="0" w:type="dxa"/>
                                </w:trPr>
                                <w:tc>
                                  <w:tcPr>
                                    <w:tcW w:w="0" w:type="auto"/>
                                    <w:hideMark/>
                                  </w:tcPr>
                                  <w:tbl>
                                    <w:tblPr>
                                      <w:tblW w:w="2566" w:type="dxa"/>
                                      <w:tblCellSpacing w:w="0" w:type="dxa"/>
                                      <w:tblCellMar>
                                        <w:left w:w="0" w:type="dxa"/>
                                        <w:right w:w="0" w:type="dxa"/>
                                      </w:tblCellMar>
                                      <w:tblLook w:val="04A0" w:firstRow="1" w:lastRow="0" w:firstColumn="1" w:lastColumn="0" w:noHBand="0" w:noVBand="1"/>
                                    </w:tblPr>
                                    <w:tblGrid>
                                      <w:gridCol w:w="2566"/>
                                    </w:tblGrid>
                                    <w:tr w:rsidR="004A1A83">
                                      <w:trPr>
                                        <w:trHeight w:val="262"/>
                                        <w:tblCellSpacing w:w="0" w:type="dxa"/>
                                      </w:trPr>
                                      <w:tc>
                                        <w:tcPr>
                                          <w:tcW w:w="0" w:type="auto"/>
                                          <w:tcBorders>
                                            <w:top w:val="single" w:sz="6" w:space="0" w:color="8A0066"/>
                                            <w:left w:val="nil"/>
                                            <w:bottom w:val="nil"/>
                                            <w:right w:val="single" w:sz="6" w:space="0" w:color="8A0066"/>
                                          </w:tcBorders>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rPr>
                                        <w:rFonts w:eastAsia="Times New Roman"/>
                                        <w:sz w:val="20"/>
                                        <w:szCs w:val="20"/>
                                      </w:rPr>
                                    </w:pPr>
                                  </w:p>
                                </w:tc>
                              </w:tr>
                              <w:tr w:rsidR="004A1A83">
                                <w:trPr>
                                  <w:trHeight w:val="367"/>
                                  <w:tblCellSpacing w:w="0" w:type="dxa"/>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rPr>
                                  <w:rFonts w:eastAsia="Times New Roman"/>
                                  <w:sz w:val="20"/>
                                  <w:szCs w:val="20"/>
                                </w:rPr>
                              </w:pP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056"/>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6"/>
                                <w:gridCol w:w="5105"/>
                              </w:tblGrid>
                              <w:tr w:rsidR="004A1A83">
                                <w:trPr>
                                  <w:trHeight w:val="236"/>
                                  <w:tblCellSpacing w:w="0" w:type="dxa"/>
                                </w:trPr>
                                <w:tc>
                                  <w:tcPr>
                                    <w:tcW w:w="0" w:type="auto"/>
                                    <w:hideMark/>
                                  </w:tcPr>
                                  <w:p w:rsidR="004A1A83" w:rsidRDefault="004A1A83">
                                    <w:pPr>
                                      <w:rPr>
                                        <w:rFonts w:ascii="Arial" w:eastAsia="Times New Roman" w:hAnsi="Arial" w:cs="Arial"/>
                                        <w:color w:val="58585A"/>
                                        <w:sz w:val="17"/>
                                        <w:szCs w:val="17"/>
                                      </w:rPr>
                                    </w:pPr>
                                    <w:r>
                                      <w:rPr>
                                        <w:rFonts w:ascii="Arial" w:eastAsia="Times New Roman" w:hAnsi="Arial" w:cs="Arial"/>
                                        <w:noProof/>
                                        <w:color w:val="58585A"/>
                                        <w:sz w:val="17"/>
                                        <w:szCs w:val="17"/>
                                      </w:rPr>
                                      <w:lastRenderedPageBreak/>
                                      <w:drawing>
                                        <wp:inline distT="0" distB="0" distL="0" distR="0">
                                          <wp:extent cx="1870075" cy="1330325"/>
                                          <wp:effectExtent l="0" t="0" r="0" b="3175"/>
                                          <wp:docPr id="4" name="Afbeelding 4" descr="http://images.m15.mailplus.nl/mailing315291273/signaal_skills_panorama_196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15.mailplus.nl/mailing315291273/signaal_skills_panorama_196_140.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 xml:space="preserve">Heel Europa heeft gebrek aan </w:t>
                                          </w:r>
                                          <w:proofErr w:type="spellStart"/>
                                          <w:r>
                                            <w:rPr>
                                              <w:rFonts w:ascii="Arial" w:eastAsia="Times New Roman" w:hAnsi="Arial" w:cs="Arial"/>
                                              <w:b/>
                                              <w:bCs/>
                                              <w:color w:val="8A0066"/>
                                              <w:sz w:val="20"/>
                                              <w:szCs w:val="20"/>
                                            </w:rPr>
                                            <w:t>ict’ers</w:t>
                                          </w:r>
                                          <w:proofErr w:type="spellEnd"/>
                                          <w:r>
                                            <w:rPr>
                                              <w:rFonts w:ascii="Arial" w:eastAsia="Times New Roman" w:hAnsi="Arial" w:cs="Arial"/>
                                              <w:b/>
                                              <w:bCs/>
                                              <w:color w:val="8A0066"/>
                                              <w:sz w:val="20"/>
                                              <w:szCs w:val="20"/>
                                            </w:rPr>
                                            <w:t>, dokters en bèta’s en technici</w:t>
                                          </w:r>
                                        </w:p>
                                      </w:tc>
                                    </w:tr>
                                    <w:tr w:rsidR="004A1A83">
                                      <w:trPr>
                                        <w:tblCellSpacing w:w="0" w:type="dxa"/>
                                      </w:trPr>
                                      <w:tc>
                                        <w:tcPr>
                                          <w:tcW w:w="0" w:type="auto"/>
                                          <w:tcMar>
                                            <w:top w:w="150" w:type="dxa"/>
                                            <w:left w:w="0" w:type="dxa"/>
                                            <w:bottom w:w="210" w:type="dxa"/>
                                            <w:right w:w="0" w:type="dxa"/>
                                          </w:tcMar>
                                          <w:hideMark/>
                                        </w:tcPr>
                                        <w:p w:rsidR="004A1A83" w:rsidRDefault="004A1A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Uit een recente </w:t>
                                          </w:r>
                                          <w:proofErr w:type="spellStart"/>
                                          <w:r>
                                            <w:rPr>
                                              <w:rFonts w:ascii="Arial" w:eastAsia="Times New Roman" w:hAnsi="Arial" w:cs="Arial"/>
                                              <w:color w:val="58585A"/>
                                              <w:sz w:val="17"/>
                                              <w:szCs w:val="17"/>
                                            </w:rPr>
                                            <w:t>Cedefop</w:t>
                                          </w:r>
                                          <w:proofErr w:type="spellEnd"/>
                                          <w:r>
                                            <w:rPr>
                                              <w:rFonts w:ascii="Arial" w:eastAsia="Times New Roman" w:hAnsi="Arial" w:cs="Arial"/>
                                              <w:color w:val="58585A"/>
                                              <w:sz w:val="17"/>
                                              <w:szCs w:val="17"/>
                                            </w:rPr>
                                            <w:t>-rapportage over discrepanties tussen vraag en aanbod op de arbeidsmarkt ('</w:t>
                                          </w:r>
                                          <w:proofErr w:type="spellStart"/>
                                          <w:r>
                                            <w:rPr>
                                              <w:rFonts w:ascii="Arial" w:eastAsia="Times New Roman" w:hAnsi="Arial" w:cs="Arial"/>
                                              <w:color w:val="58585A"/>
                                              <w:sz w:val="17"/>
                                              <w:szCs w:val="17"/>
                                            </w:rPr>
                                            <w:t>skill</w:t>
                                          </w:r>
                                          <w:proofErr w:type="spellEnd"/>
                                          <w:r>
                                            <w:rPr>
                                              <w:rFonts w:ascii="Arial" w:eastAsia="Times New Roman" w:hAnsi="Arial" w:cs="Arial"/>
                                              <w:color w:val="58585A"/>
                                              <w:sz w:val="17"/>
                                              <w:szCs w:val="17"/>
                                            </w:rPr>
                                            <w:t xml:space="preserve"> mismatch'), blijkt dat alle EU-lidstaten tekorten signaleren aan </w:t>
                                          </w:r>
                                          <w:proofErr w:type="spellStart"/>
                                          <w:r>
                                            <w:rPr>
                                              <w:rFonts w:ascii="Arial" w:eastAsia="Times New Roman" w:hAnsi="Arial" w:cs="Arial"/>
                                              <w:color w:val="58585A"/>
                                              <w:sz w:val="17"/>
                                              <w:szCs w:val="17"/>
                                            </w:rPr>
                                            <w:t>ict’ers</w:t>
                                          </w:r>
                                          <w:proofErr w:type="spellEnd"/>
                                          <w:r>
                                            <w:rPr>
                                              <w:rFonts w:ascii="Arial" w:eastAsia="Times New Roman" w:hAnsi="Arial" w:cs="Arial"/>
                                              <w:color w:val="58585A"/>
                                              <w:sz w:val="17"/>
                                              <w:szCs w:val="17"/>
                                            </w:rPr>
                                            <w:t xml:space="preserve">, dokters, bèta’s en technici, en bijna allemaal aan verpleegkundigen en leraren. Gedetailleerde informatie over oorzaken van deze tekorten zijn te vinden via de </w:t>
                                          </w:r>
                                          <w:proofErr w:type="spellStart"/>
                                          <w:r>
                                            <w:rPr>
                                              <w:rFonts w:ascii="Arial" w:eastAsia="Times New Roman" w:hAnsi="Arial" w:cs="Arial"/>
                                              <w:color w:val="58585A"/>
                                              <w:sz w:val="17"/>
                                              <w:szCs w:val="17"/>
                                            </w:rPr>
                                            <w:t>Cedefop</w:t>
                                          </w:r>
                                          <w:proofErr w:type="spellEnd"/>
                                          <w:r>
                                            <w:rPr>
                                              <w:rFonts w:ascii="Arial" w:eastAsia="Times New Roman" w:hAnsi="Arial" w:cs="Arial"/>
                                              <w:color w:val="58585A"/>
                                              <w:sz w:val="17"/>
                                              <w:szCs w:val="17"/>
                                            </w:rPr>
                                            <w:t xml:space="preserve"> Skills Panorama website. </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57" w:tgtFrame="_blank" w:history="1">
                                            <w:r>
                                              <w:rPr>
                                                <w:rStyle w:val="Hyperlink"/>
                                                <w:rFonts w:ascii="Arial" w:eastAsia="Times New Roman" w:hAnsi="Arial" w:cs="Arial"/>
                                                <w:b/>
                                                <w:bCs/>
                                                <w:color w:val="8A0066"/>
                                                <w:sz w:val="17"/>
                                                <w:szCs w:val="17"/>
                                              </w:rPr>
                                              <w:t xml:space="preserve">Bericht </w:t>
                                            </w:r>
                                            <w:proofErr w:type="spellStart"/>
                                            <w:r>
                                              <w:rPr>
                                                <w:rStyle w:val="Hyperlink"/>
                                                <w:rFonts w:ascii="Arial" w:eastAsia="Times New Roman" w:hAnsi="Arial" w:cs="Arial"/>
                                                <w:b/>
                                                <w:bCs/>
                                                <w:color w:val="8A0066"/>
                                                <w:sz w:val="17"/>
                                                <w:szCs w:val="17"/>
                                              </w:rPr>
                                              <w:t>Cedefop</w:t>
                                            </w:r>
                                            <w:proofErr w:type="spellEnd"/>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58" w:tgtFrame="_blank" w:history="1">
                                            <w:r>
                                              <w:rPr>
                                                <w:rStyle w:val="Hyperlink"/>
                                                <w:rFonts w:ascii="Arial" w:eastAsia="Times New Roman" w:hAnsi="Arial" w:cs="Arial"/>
                                                <w:b/>
                                                <w:bCs/>
                                                <w:color w:val="8A0066"/>
                                                <w:sz w:val="17"/>
                                                <w:szCs w:val="17"/>
                                              </w:rPr>
                                              <w:t xml:space="preserve">Briefing </w:t>
                                            </w:r>
                                            <w:proofErr w:type="spellStart"/>
                                            <w:r>
                                              <w:rPr>
                                                <w:rStyle w:val="Hyperlink"/>
                                                <w:rFonts w:ascii="Arial" w:eastAsia="Times New Roman" w:hAnsi="Arial" w:cs="Arial"/>
                                                <w:b/>
                                                <w:bCs/>
                                                <w:color w:val="8A0066"/>
                                                <w:sz w:val="17"/>
                                                <w:szCs w:val="17"/>
                                              </w:rPr>
                                              <w:t>Note</w:t>
                                            </w:r>
                                            <w:proofErr w:type="spellEnd"/>
                                            <w:r>
                                              <w:rPr>
                                                <w:rStyle w:val="Hyperlink"/>
                                                <w:rFonts w:ascii="Arial" w:eastAsia="Times New Roman" w:hAnsi="Arial" w:cs="Arial"/>
                                                <w:b/>
                                                <w:bCs/>
                                                <w:color w:val="8A0066"/>
                                                <w:sz w:val="17"/>
                                                <w:szCs w:val="17"/>
                                              </w:rPr>
                                              <w:t xml:space="preserve"> </w:t>
                                            </w:r>
                                            <w:proofErr w:type="spellStart"/>
                                            <w:r>
                                              <w:rPr>
                                                <w:rStyle w:val="Hyperlink"/>
                                                <w:rFonts w:ascii="Arial" w:eastAsia="Times New Roman" w:hAnsi="Arial" w:cs="Arial"/>
                                                <w:b/>
                                                <w:bCs/>
                                                <w:i/>
                                                <w:iCs/>
                                                <w:color w:val="8A0066"/>
                                                <w:sz w:val="17"/>
                                                <w:szCs w:val="17"/>
                                              </w:rPr>
                                              <w:t>Skill</w:t>
                                            </w:r>
                                            <w:proofErr w:type="spellEnd"/>
                                            <w:r>
                                              <w:rPr>
                                                <w:rStyle w:val="Hyperlink"/>
                                                <w:rFonts w:ascii="Arial" w:eastAsia="Times New Roman" w:hAnsi="Arial" w:cs="Arial"/>
                                                <w:b/>
                                                <w:bCs/>
                                                <w:i/>
                                                <w:iCs/>
                                                <w:color w:val="8A0066"/>
                                                <w:sz w:val="17"/>
                                                <w:szCs w:val="17"/>
                                              </w:rPr>
                                              <w:t xml:space="preserve"> </w:t>
                                            </w:r>
                                            <w:proofErr w:type="spellStart"/>
                                            <w:r>
                                              <w:rPr>
                                                <w:rStyle w:val="Hyperlink"/>
                                                <w:rFonts w:ascii="Arial" w:eastAsia="Times New Roman" w:hAnsi="Arial" w:cs="Arial"/>
                                                <w:b/>
                                                <w:bCs/>
                                                <w:i/>
                                                <w:iCs/>
                                                <w:color w:val="8A0066"/>
                                                <w:sz w:val="17"/>
                                                <w:szCs w:val="17"/>
                                              </w:rPr>
                                              <w:t>shortage</w:t>
                                            </w:r>
                                            <w:proofErr w:type="spellEnd"/>
                                            <w:r>
                                              <w:rPr>
                                                <w:rStyle w:val="Hyperlink"/>
                                                <w:rFonts w:ascii="Arial" w:eastAsia="Times New Roman" w:hAnsi="Arial" w:cs="Arial"/>
                                                <w:b/>
                                                <w:bCs/>
                                                <w:i/>
                                                <w:iCs/>
                                                <w:color w:val="8A0066"/>
                                                <w:sz w:val="17"/>
                                                <w:szCs w:val="17"/>
                                              </w:rPr>
                                              <w:t xml:space="preserve"> </w:t>
                                            </w:r>
                                            <w:proofErr w:type="spellStart"/>
                                            <w:r>
                                              <w:rPr>
                                                <w:rStyle w:val="Hyperlink"/>
                                                <w:rFonts w:ascii="Arial" w:eastAsia="Times New Roman" w:hAnsi="Arial" w:cs="Arial"/>
                                                <w:b/>
                                                <w:bCs/>
                                                <w:i/>
                                                <w:iCs/>
                                                <w:color w:val="8A0066"/>
                                                <w:sz w:val="17"/>
                                                <w:szCs w:val="17"/>
                                              </w:rPr>
                                              <w:t>and</w:t>
                                            </w:r>
                                            <w:proofErr w:type="spellEnd"/>
                                            <w:r>
                                              <w:rPr>
                                                <w:rStyle w:val="Hyperlink"/>
                                                <w:rFonts w:ascii="Arial" w:eastAsia="Times New Roman" w:hAnsi="Arial" w:cs="Arial"/>
                                                <w:b/>
                                                <w:bCs/>
                                                <w:i/>
                                                <w:iCs/>
                                                <w:color w:val="8A0066"/>
                                                <w:sz w:val="17"/>
                                                <w:szCs w:val="17"/>
                                              </w:rPr>
                                              <w:t xml:space="preserve"> surplus </w:t>
                                            </w:r>
                                            <w:proofErr w:type="spellStart"/>
                                            <w:r>
                                              <w:rPr>
                                                <w:rStyle w:val="Hyperlink"/>
                                                <w:rFonts w:ascii="Arial" w:eastAsia="Times New Roman" w:hAnsi="Arial" w:cs="Arial"/>
                                                <w:b/>
                                                <w:bCs/>
                                                <w:i/>
                                                <w:iCs/>
                                                <w:color w:val="8A0066"/>
                                                <w:sz w:val="17"/>
                                                <w:szCs w:val="17"/>
                                              </w:rPr>
                                              <w:t>occupations</w:t>
                                            </w:r>
                                            <w:proofErr w:type="spellEnd"/>
                                            <w:r>
                                              <w:rPr>
                                                <w:rStyle w:val="Hyperlink"/>
                                                <w:rFonts w:ascii="Arial" w:eastAsia="Times New Roman" w:hAnsi="Arial" w:cs="Arial"/>
                                                <w:b/>
                                                <w:bCs/>
                                                <w:i/>
                                                <w:iCs/>
                                                <w:color w:val="8A0066"/>
                                                <w:sz w:val="17"/>
                                                <w:szCs w:val="17"/>
                                              </w:rPr>
                                              <w:t xml:space="preserve"> in Europe</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proofErr w:type="spellStart"/>
                                    <w:r>
                                      <w:rPr>
                                        <w:rFonts w:ascii="Arial" w:eastAsia="Times New Roman" w:hAnsi="Arial" w:cs="Arial"/>
                                        <w:b/>
                                        <w:bCs/>
                                        <w:color w:val="8A0066"/>
                                        <w:sz w:val="20"/>
                                        <w:szCs w:val="20"/>
                                      </w:rPr>
                                      <w:t>Education</w:t>
                                    </w:r>
                                    <w:proofErr w:type="spellEnd"/>
                                    <w:r>
                                      <w:rPr>
                                        <w:rFonts w:ascii="Arial" w:eastAsia="Times New Roman" w:hAnsi="Arial" w:cs="Arial"/>
                                        <w:b/>
                                        <w:bCs/>
                                        <w:color w:val="8A0066"/>
                                        <w:sz w:val="20"/>
                                        <w:szCs w:val="20"/>
                                      </w:rPr>
                                      <w:t xml:space="preserve">, Labour Market </w:t>
                                    </w:r>
                                    <w:proofErr w:type="spellStart"/>
                                    <w:r>
                                      <w:rPr>
                                        <w:rFonts w:ascii="Arial" w:eastAsia="Times New Roman" w:hAnsi="Arial" w:cs="Arial"/>
                                        <w:b/>
                                        <w:bCs/>
                                        <w:color w:val="8A0066"/>
                                        <w:sz w:val="20"/>
                                        <w:szCs w:val="20"/>
                                      </w:rPr>
                                      <w:t>Experience</w:t>
                                    </w:r>
                                    <w:proofErr w:type="spellEnd"/>
                                    <w:r>
                                      <w:rPr>
                                        <w:rFonts w:ascii="Arial" w:eastAsia="Times New Roman" w:hAnsi="Arial" w:cs="Arial"/>
                                        <w:b/>
                                        <w:bCs/>
                                        <w:color w:val="8A0066"/>
                                        <w:sz w:val="20"/>
                                        <w:szCs w:val="20"/>
                                      </w:rPr>
                                      <w:t xml:space="preserve"> </w:t>
                                    </w:r>
                                    <w:proofErr w:type="spellStart"/>
                                    <w:r>
                                      <w:rPr>
                                        <w:rFonts w:ascii="Arial" w:eastAsia="Times New Roman" w:hAnsi="Arial" w:cs="Arial"/>
                                        <w:b/>
                                        <w:bCs/>
                                        <w:color w:val="8A0066"/>
                                        <w:sz w:val="20"/>
                                        <w:szCs w:val="20"/>
                                      </w:rPr>
                                      <w:t>and</w:t>
                                    </w:r>
                                    <w:proofErr w:type="spellEnd"/>
                                    <w:r>
                                      <w:rPr>
                                        <w:rFonts w:ascii="Arial" w:eastAsia="Times New Roman" w:hAnsi="Arial" w:cs="Arial"/>
                                        <w:b/>
                                        <w:bCs/>
                                        <w:color w:val="8A0066"/>
                                        <w:sz w:val="20"/>
                                        <w:szCs w:val="20"/>
                                      </w:rPr>
                                      <w:t xml:space="preserve"> </w:t>
                                    </w:r>
                                    <w:proofErr w:type="spellStart"/>
                                    <w:r>
                                      <w:rPr>
                                        <w:rFonts w:ascii="Arial" w:eastAsia="Times New Roman" w:hAnsi="Arial" w:cs="Arial"/>
                                        <w:b/>
                                        <w:bCs/>
                                        <w:color w:val="8A0066"/>
                                        <w:sz w:val="20"/>
                                        <w:szCs w:val="20"/>
                                      </w:rPr>
                                      <w:t>Cognitive</w:t>
                                    </w:r>
                                    <w:proofErr w:type="spellEnd"/>
                                    <w:r>
                                      <w:rPr>
                                        <w:rFonts w:ascii="Arial" w:eastAsia="Times New Roman" w:hAnsi="Arial" w:cs="Arial"/>
                                        <w:b/>
                                        <w:bCs/>
                                        <w:color w:val="8A0066"/>
                                        <w:sz w:val="20"/>
                                        <w:szCs w:val="20"/>
                                      </w:rPr>
                                      <w:t xml:space="preserve"> Skills: A First </w:t>
                                    </w:r>
                                    <w:proofErr w:type="spellStart"/>
                                    <w:r>
                                      <w:rPr>
                                        <w:rFonts w:ascii="Arial" w:eastAsia="Times New Roman" w:hAnsi="Arial" w:cs="Arial"/>
                                        <w:b/>
                                        <w:bCs/>
                                        <w:color w:val="8A0066"/>
                                        <w:sz w:val="20"/>
                                        <w:szCs w:val="20"/>
                                      </w:rPr>
                                      <w:t>Approximation</w:t>
                                    </w:r>
                                    <w:proofErr w:type="spellEnd"/>
                                    <w:r>
                                      <w:rPr>
                                        <w:rFonts w:ascii="Arial" w:eastAsia="Times New Roman" w:hAnsi="Arial" w:cs="Arial"/>
                                        <w:b/>
                                        <w:bCs/>
                                        <w:color w:val="8A0066"/>
                                        <w:sz w:val="20"/>
                                        <w:szCs w:val="20"/>
                                      </w:rPr>
                                      <w:t xml:space="preserve"> </w:t>
                                    </w:r>
                                    <w:proofErr w:type="spellStart"/>
                                    <w:r>
                                      <w:rPr>
                                        <w:rFonts w:ascii="Arial" w:eastAsia="Times New Roman" w:hAnsi="Arial" w:cs="Arial"/>
                                        <w:b/>
                                        <w:bCs/>
                                        <w:color w:val="8A0066"/>
                                        <w:sz w:val="20"/>
                                        <w:szCs w:val="20"/>
                                      </w:rPr>
                                      <w:t>to</w:t>
                                    </w:r>
                                    <w:proofErr w:type="spellEnd"/>
                                    <w:r>
                                      <w:rPr>
                                        <w:rFonts w:ascii="Arial" w:eastAsia="Times New Roman" w:hAnsi="Arial" w:cs="Arial"/>
                                        <w:b/>
                                        <w:bCs/>
                                        <w:color w:val="8A0066"/>
                                        <w:sz w:val="20"/>
                                        <w:szCs w:val="20"/>
                                      </w:rPr>
                                      <w:t xml:space="preserve"> </w:t>
                                    </w:r>
                                    <w:proofErr w:type="spellStart"/>
                                    <w:r>
                                      <w:rPr>
                                        <w:rFonts w:ascii="Arial" w:eastAsia="Times New Roman" w:hAnsi="Arial" w:cs="Arial"/>
                                        <w:b/>
                                        <w:bCs/>
                                        <w:color w:val="8A0066"/>
                                        <w:sz w:val="20"/>
                                        <w:szCs w:val="20"/>
                                      </w:rPr>
                                      <w:t>the</w:t>
                                    </w:r>
                                    <w:proofErr w:type="spellEnd"/>
                                    <w:r>
                                      <w:rPr>
                                        <w:rFonts w:ascii="Arial" w:eastAsia="Times New Roman" w:hAnsi="Arial" w:cs="Arial"/>
                                        <w:b/>
                                        <w:bCs/>
                                        <w:color w:val="8A0066"/>
                                        <w:sz w:val="20"/>
                                        <w:szCs w:val="20"/>
                                      </w:rPr>
                                      <w:t xml:space="preserve"> PIAAC </w:t>
                                    </w:r>
                                    <w:proofErr w:type="spellStart"/>
                                    <w:r>
                                      <w:rPr>
                                        <w:rFonts w:ascii="Arial" w:eastAsia="Times New Roman" w:hAnsi="Arial" w:cs="Arial"/>
                                        <w:b/>
                                        <w:bCs/>
                                        <w:color w:val="8A0066"/>
                                        <w:sz w:val="20"/>
                                        <w:szCs w:val="20"/>
                                      </w:rPr>
                                      <w:t>Results</w:t>
                                    </w:r>
                                    <w:proofErr w:type="spellEnd"/>
                                  </w:p>
                                </w:tc>
                              </w:tr>
                              <w:tr w:rsidR="004A1A83">
                                <w:trPr>
                                  <w:tblCellSpacing w:w="0" w:type="dxa"/>
                                </w:trPr>
                                <w:tc>
                                  <w:tcPr>
                                    <w:tcW w:w="0" w:type="auto"/>
                                    <w:tcMar>
                                      <w:top w:w="150" w:type="dxa"/>
                                      <w:left w:w="0" w:type="dxa"/>
                                      <w:bottom w:w="210" w:type="dxa"/>
                                      <w:right w:w="0" w:type="dxa"/>
                                    </w:tcMar>
                                    <w:hideMark/>
                                  </w:tcPr>
                                  <w:p w:rsidR="004A1A83" w:rsidRDefault="004A1A83">
                                    <w:pPr>
                                      <w:pStyle w:val="Normaalweb"/>
                                      <w:spacing w:line="225" w:lineRule="exact"/>
                                      <w:rPr>
                                        <w:rFonts w:ascii="Arial" w:hAnsi="Arial" w:cs="Arial"/>
                                        <w:color w:val="58585A"/>
                                        <w:sz w:val="17"/>
                                        <w:szCs w:val="17"/>
                                      </w:rPr>
                                    </w:pPr>
                                    <w:proofErr w:type="spellStart"/>
                                    <w:r>
                                      <w:rPr>
                                        <w:rFonts w:ascii="Arial" w:hAnsi="Arial" w:cs="Arial"/>
                                        <w:color w:val="58585A"/>
                                        <w:sz w:val="17"/>
                                        <w:szCs w:val="17"/>
                                      </w:rPr>
                                      <w:t>This</w:t>
                                    </w:r>
                                    <w:proofErr w:type="spellEnd"/>
                                    <w:r>
                                      <w:rPr>
                                        <w:rFonts w:ascii="Arial" w:hAnsi="Arial" w:cs="Arial"/>
                                        <w:color w:val="58585A"/>
                                        <w:sz w:val="17"/>
                                        <w:szCs w:val="17"/>
                                      </w:rPr>
                                      <w:t xml:space="preserve"> OECD </w:t>
                                    </w:r>
                                    <w:proofErr w:type="spellStart"/>
                                    <w:r>
                                      <w:rPr>
                                        <w:rFonts w:ascii="Arial" w:hAnsi="Arial" w:cs="Arial"/>
                                        <w:color w:val="58585A"/>
                                        <w:sz w:val="17"/>
                                        <w:szCs w:val="17"/>
                                      </w:rPr>
                                      <w:t>Working</w:t>
                                    </w:r>
                                    <w:proofErr w:type="spellEnd"/>
                                    <w:r>
                                      <w:rPr>
                                        <w:rFonts w:ascii="Arial" w:hAnsi="Arial" w:cs="Arial"/>
                                        <w:color w:val="58585A"/>
                                        <w:sz w:val="17"/>
                                        <w:szCs w:val="17"/>
                                      </w:rPr>
                                      <w:t xml:space="preserve"> Paper </w:t>
                                    </w:r>
                                    <w:proofErr w:type="spellStart"/>
                                    <w:r>
                                      <w:rPr>
                                        <w:rFonts w:ascii="Arial" w:hAnsi="Arial" w:cs="Arial"/>
                                        <w:color w:val="58585A"/>
                                        <w:sz w:val="17"/>
                                        <w:szCs w:val="17"/>
                                      </w:rPr>
                                      <w:t>examines</w:t>
                                    </w:r>
                                    <w:proofErr w:type="spellEnd"/>
                                    <w:r>
                                      <w:rPr>
                                        <w:rFonts w:ascii="Arial" w:hAnsi="Arial" w:cs="Arial"/>
                                        <w:color w:val="58585A"/>
                                        <w:sz w:val="17"/>
                                        <w:szCs w:val="17"/>
                                      </w:rPr>
                                      <w:t xml:space="preserve"> </w:t>
                                    </w:r>
                                    <w:proofErr w:type="spellStart"/>
                                    <w:r>
                                      <w:rPr>
                                        <w:rFonts w:ascii="Arial" w:hAnsi="Arial" w:cs="Arial"/>
                                        <w:color w:val="58585A"/>
                                        <w:sz w:val="17"/>
                                        <w:szCs w:val="17"/>
                                      </w:rPr>
                                      <w:t>how</w:t>
                                    </w:r>
                                    <w:proofErr w:type="spellEnd"/>
                                    <w:r>
                                      <w:rPr>
                                        <w:rFonts w:ascii="Arial" w:hAnsi="Arial" w:cs="Arial"/>
                                        <w:color w:val="58585A"/>
                                        <w:sz w:val="17"/>
                                        <w:szCs w:val="17"/>
                                      </w:rPr>
                                      <w:t xml:space="preserve"> </w:t>
                                    </w:r>
                                    <w:proofErr w:type="spellStart"/>
                                    <w:r>
                                      <w:rPr>
                                        <w:rFonts w:ascii="Arial" w:hAnsi="Arial" w:cs="Arial"/>
                                        <w:color w:val="58585A"/>
                                        <w:sz w:val="17"/>
                                        <w:szCs w:val="17"/>
                                      </w:rPr>
                                      <w:t>formal</w:t>
                                    </w:r>
                                    <w:proofErr w:type="spellEnd"/>
                                    <w:r>
                                      <w:rPr>
                                        <w:rFonts w:ascii="Arial" w:hAnsi="Arial" w:cs="Arial"/>
                                        <w:color w:val="58585A"/>
                                        <w:sz w:val="17"/>
                                        <w:szCs w:val="17"/>
                                      </w:rPr>
                                      <w:t xml:space="preserve"> </w:t>
                                    </w:r>
                                    <w:proofErr w:type="spellStart"/>
                                    <w:r>
                                      <w:rPr>
                                        <w:rFonts w:ascii="Arial" w:hAnsi="Arial" w:cs="Arial"/>
                                        <w:color w:val="58585A"/>
                                        <w:sz w:val="17"/>
                                        <w:szCs w:val="17"/>
                                      </w:rPr>
                                      <w:t>education</w:t>
                                    </w:r>
                                    <w:proofErr w:type="spellEnd"/>
                                    <w:r>
                                      <w:rPr>
                                        <w:rFonts w:ascii="Arial" w:hAnsi="Arial" w:cs="Arial"/>
                                        <w:color w:val="58585A"/>
                                        <w:sz w:val="17"/>
                                        <w:szCs w:val="17"/>
                                      </w:rPr>
                                      <w:t xml:space="preserve"> </w:t>
                                    </w:r>
                                    <w:proofErr w:type="spellStart"/>
                                    <w:r>
                                      <w:rPr>
                                        <w:rFonts w:ascii="Arial" w:hAnsi="Arial" w:cs="Arial"/>
                                        <w:color w:val="58585A"/>
                                        <w:sz w:val="17"/>
                                        <w:szCs w:val="17"/>
                                      </w:rPr>
                                      <w:t>and</w:t>
                                    </w:r>
                                    <w:proofErr w:type="spellEnd"/>
                                    <w:r>
                                      <w:rPr>
                                        <w:rFonts w:ascii="Arial" w:hAnsi="Arial" w:cs="Arial"/>
                                        <w:color w:val="58585A"/>
                                        <w:sz w:val="17"/>
                                        <w:szCs w:val="17"/>
                                      </w:rPr>
                                      <w:t xml:space="preserve"> </w:t>
                                    </w:r>
                                    <w:proofErr w:type="spellStart"/>
                                    <w:r>
                                      <w:rPr>
                                        <w:rFonts w:ascii="Arial" w:hAnsi="Arial" w:cs="Arial"/>
                                        <w:color w:val="58585A"/>
                                        <w:sz w:val="17"/>
                                        <w:szCs w:val="17"/>
                                      </w:rPr>
                                      <w:t>experience</w:t>
                                    </w:r>
                                    <w:proofErr w:type="spellEnd"/>
                                    <w:r>
                                      <w:rPr>
                                        <w:rFonts w:ascii="Arial" w:hAnsi="Arial" w:cs="Arial"/>
                                        <w:color w:val="58585A"/>
                                        <w:sz w:val="17"/>
                                        <w:szCs w:val="17"/>
                                      </w:rPr>
                                      <w:t xml:space="preserve"> in </w:t>
                                    </w:r>
                                    <w:proofErr w:type="spellStart"/>
                                    <w:r>
                                      <w:rPr>
                                        <w:rFonts w:ascii="Arial" w:hAnsi="Arial" w:cs="Arial"/>
                                        <w:color w:val="58585A"/>
                                        <w:sz w:val="17"/>
                                        <w:szCs w:val="17"/>
                                      </w:rPr>
                                      <w:t>the</w:t>
                                    </w:r>
                                    <w:proofErr w:type="spellEnd"/>
                                    <w:r>
                                      <w:rPr>
                                        <w:rFonts w:ascii="Arial" w:hAnsi="Arial" w:cs="Arial"/>
                                        <w:color w:val="58585A"/>
                                        <w:sz w:val="17"/>
                                        <w:szCs w:val="17"/>
                                      </w:rPr>
                                      <w:t xml:space="preserve"> </w:t>
                                    </w:r>
                                    <w:proofErr w:type="spellStart"/>
                                    <w:r>
                                      <w:rPr>
                                        <w:rFonts w:ascii="Arial" w:hAnsi="Arial" w:cs="Arial"/>
                                        <w:color w:val="58585A"/>
                                        <w:sz w:val="17"/>
                                        <w:szCs w:val="17"/>
                                      </w:rPr>
                                      <w:t>labour</w:t>
                                    </w:r>
                                    <w:proofErr w:type="spellEnd"/>
                                    <w:r>
                                      <w:rPr>
                                        <w:rFonts w:ascii="Arial" w:hAnsi="Arial" w:cs="Arial"/>
                                        <w:color w:val="58585A"/>
                                        <w:sz w:val="17"/>
                                        <w:szCs w:val="17"/>
                                      </w:rPr>
                                      <w:t xml:space="preserve"> market </w:t>
                                    </w:r>
                                    <w:proofErr w:type="spellStart"/>
                                    <w:r>
                                      <w:rPr>
                                        <w:rFonts w:ascii="Arial" w:hAnsi="Arial" w:cs="Arial"/>
                                        <w:color w:val="58585A"/>
                                        <w:sz w:val="17"/>
                                        <w:szCs w:val="17"/>
                                      </w:rPr>
                                      <w:t>correlate</w:t>
                                    </w:r>
                                    <w:proofErr w:type="spellEnd"/>
                                    <w:r>
                                      <w:rPr>
                                        <w:rFonts w:ascii="Arial" w:hAnsi="Arial" w:cs="Arial"/>
                                        <w:color w:val="58585A"/>
                                        <w:sz w:val="17"/>
                                        <w:szCs w:val="17"/>
                                      </w:rPr>
                                      <w:t xml:space="preserve"> </w:t>
                                    </w:r>
                                    <w:proofErr w:type="spellStart"/>
                                    <w:r>
                                      <w:rPr>
                                        <w:rFonts w:ascii="Arial" w:hAnsi="Arial" w:cs="Arial"/>
                                        <w:color w:val="58585A"/>
                                        <w:sz w:val="17"/>
                                        <w:szCs w:val="17"/>
                                      </w:rPr>
                                      <w:t>with</w:t>
                                    </w:r>
                                    <w:proofErr w:type="spellEnd"/>
                                    <w:r>
                                      <w:rPr>
                                        <w:rFonts w:ascii="Arial" w:hAnsi="Arial" w:cs="Arial"/>
                                        <w:color w:val="58585A"/>
                                        <w:sz w:val="17"/>
                                        <w:szCs w:val="17"/>
                                      </w:rPr>
                                      <w:t xml:space="preserve"> </w:t>
                                    </w:r>
                                    <w:proofErr w:type="spellStart"/>
                                    <w:r>
                                      <w:rPr>
                                        <w:rFonts w:ascii="Arial" w:hAnsi="Arial" w:cs="Arial"/>
                                        <w:color w:val="58585A"/>
                                        <w:sz w:val="17"/>
                                        <w:szCs w:val="17"/>
                                      </w:rPr>
                                      <w:t>measures</w:t>
                                    </w:r>
                                    <w:proofErr w:type="spellEnd"/>
                                    <w:r>
                                      <w:rPr>
                                        <w:rFonts w:ascii="Arial" w:hAnsi="Arial" w:cs="Arial"/>
                                        <w:color w:val="58585A"/>
                                        <w:sz w:val="17"/>
                                        <w:szCs w:val="17"/>
                                      </w:rPr>
                                      <w:t xml:space="preserve"> of human </w:t>
                                    </w:r>
                                    <w:proofErr w:type="spellStart"/>
                                    <w:r>
                                      <w:rPr>
                                        <w:rFonts w:ascii="Arial" w:hAnsi="Arial" w:cs="Arial"/>
                                        <w:color w:val="58585A"/>
                                        <w:sz w:val="17"/>
                                        <w:szCs w:val="17"/>
                                      </w:rPr>
                                      <w:t>capital</w:t>
                                    </w:r>
                                    <w:proofErr w:type="spellEnd"/>
                                    <w:r>
                                      <w:rPr>
                                        <w:rFonts w:ascii="Arial" w:hAnsi="Arial" w:cs="Arial"/>
                                        <w:color w:val="58585A"/>
                                        <w:sz w:val="17"/>
                                        <w:szCs w:val="17"/>
                                      </w:rPr>
                                      <w:t xml:space="preserve"> </w:t>
                                    </w:r>
                                    <w:proofErr w:type="spellStart"/>
                                    <w:r>
                                      <w:rPr>
                                        <w:rFonts w:ascii="Arial" w:hAnsi="Arial" w:cs="Arial"/>
                                        <w:color w:val="58585A"/>
                                        <w:sz w:val="17"/>
                                        <w:szCs w:val="17"/>
                                      </w:rPr>
                                      <w:t>available</w:t>
                                    </w:r>
                                    <w:proofErr w:type="spellEnd"/>
                                    <w:r>
                                      <w:rPr>
                                        <w:rFonts w:ascii="Arial" w:hAnsi="Arial" w:cs="Arial"/>
                                        <w:color w:val="58585A"/>
                                        <w:sz w:val="17"/>
                                        <w:szCs w:val="17"/>
                                      </w:rPr>
                                      <w:t xml:space="preserve"> in The Survey of Adult Skills, a product of </w:t>
                                    </w:r>
                                    <w:proofErr w:type="spellStart"/>
                                    <w:r>
                                      <w:rPr>
                                        <w:rFonts w:ascii="Arial" w:hAnsi="Arial" w:cs="Arial"/>
                                        <w:color w:val="58585A"/>
                                        <w:sz w:val="17"/>
                                        <w:szCs w:val="17"/>
                                      </w:rPr>
                                      <w:t>the</w:t>
                                    </w:r>
                                    <w:proofErr w:type="spellEnd"/>
                                    <w:r>
                                      <w:rPr>
                                        <w:rFonts w:ascii="Arial" w:hAnsi="Arial" w:cs="Arial"/>
                                        <w:color w:val="58585A"/>
                                        <w:sz w:val="17"/>
                                        <w:szCs w:val="17"/>
                                      </w:rPr>
                                      <w:t xml:space="preserve"> OECD </w:t>
                                    </w:r>
                                    <w:proofErr w:type="spellStart"/>
                                    <w:r>
                                      <w:rPr>
                                        <w:rFonts w:ascii="Arial" w:hAnsi="Arial" w:cs="Arial"/>
                                        <w:color w:val="58585A"/>
                                        <w:sz w:val="17"/>
                                        <w:szCs w:val="17"/>
                                      </w:rPr>
                                      <w:t>Programme</w:t>
                                    </w:r>
                                    <w:proofErr w:type="spellEnd"/>
                                    <w:r>
                                      <w:rPr>
                                        <w:rFonts w:ascii="Arial" w:hAnsi="Arial" w:cs="Arial"/>
                                        <w:color w:val="58585A"/>
                                        <w:sz w:val="17"/>
                                        <w:szCs w:val="17"/>
                                      </w:rPr>
                                      <w:t xml:space="preserve"> </w:t>
                                    </w:r>
                                    <w:proofErr w:type="spellStart"/>
                                    <w:r>
                                      <w:rPr>
                                        <w:rFonts w:ascii="Arial" w:hAnsi="Arial" w:cs="Arial"/>
                                        <w:color w:val="58585A"/>
                                        <w:sz w:val="17"/>
                                        <w:szCs w:val="17"/>
                                      </w:rPr>
                                      <w:t>for</w:t>
                                    </w:r>
                                    <w:proofErr w:type="spellEnd"/>
                                    <w:r>
                                      <w:rPr>
                                        <w:rFonts w:ascii="Arial" w:hAnsi="Arial" w:cs="Arial"/>
                                        <w:color w:val="58585A"/>
                                        <w:sz w:val="17"/>
                                        <w:szCs w:val="17"/>
                                      </w:rPr>
                                      <w:t xml:space="preserve"> </w:t>
                                    </w:r>
                                    <w:proofErr w:type="spellStart"/>
                                    <w:r>
                                      <w:rPr>
                                        <w:rFonts w:ascii="Arial" w:hAnsi="Arial" w:cs="Arial"/>
                                        <w:color w:val="58585A"/>
                                        <w:sz w:val="17"/>
                                        <w:szCs w:val="17"/>
                                      </w:rPr>
                                      <w:t>the</w:t>
                                    </w:r>
                                    <w:proofErr w:type="spellEnd"/>
                                    <w:r>
                                      <w:rPr>
                                        <w:rFonts w:ascii="Arial" w:hAnsi="Arial" w:cs="Arial"/>
                                        <w:color w:val="58585A"/>
                                        <w:sz w:val="17"/>
                                        <w:szCs w:val="17"/>
                                      </w:rPr>
                                      <w:t xml:space="preserve"> International Assessment of Adult </w:t>
                                    </w:r>
                                    <w:proofErr w:type="spellStart"/>
                                    <w:r>
                                      <w:rPr>
                                        <w:rFonts w:ascii="Arial" w:hAnsi="Arial" w:cs="Arial"/>
                                        <w:color w:val="58585A"/>
                                        <w:sz w:val="17"/>
                                        <w:szCs w:val="17"/>
                                      </w:rPr>
                                      <w:t>Competencies</w:t>
                                    </w:r>
                                    <w:proofErr w:type="spellEnd"/>
                                    <w:r>
                                      <w:rPr>
                                        <w:rFonts w:ascii="Arial" w:hAnsi="Arial" w:cs="Arial"/>
                                        <w:color w:val="58585A"/>
                                        <w:sz w:val="17"/>
                                        <w:szCs w:val="17"/>
                                      </w:rPr>
                                      <w:t xml:space="preserve"> (PIAAC). The </w:t>
                                    </w:r>
                                    <w:proofErr w:type="spellStart"/>
                                    <w:r>
                                      <w:rPr>
                                        <w:rFonts w:ascii="Arial" w:hAnsi="Arial" w:cs="Arial"/>
                                        <w:color w:val="58585A"/>
                                        <w:sz w:val="17"/>
                                        <w:szCs w:val="17"/>
                                      </w:rPr>
                                      <w:t>findings</w:t>
                                    </w:r>
                                    <w:proofErr w:type="spellEnd"/>
                                    <w:r>
                                      <w:rPr>
                                        <w:rFonts w:ascii="Arial" w:hAnsi="Arial" w:cs="Arial"/>
                                        <w:color w:val="58585A"/>
                                        <w:sz w:val="17"/>
                                        <w:szCs w:val="17"/>
                                      </w:rPr>
                                      <w:t xml:space="preserve"> are consistent </w:t>
                                    </w:r>
                                    <w:proofErr w:type="spellStart"/>
                                    <w:r>
                                      <w:rPr>
                                        <w:rFonts w:ascii="Arial" w:hAnsi="Arial" w:cs="Arial"/>
                                        <w:color w:val="58585A"/>
                                        <w:sz w:val="17"/>
                                        <w:szCs w:val="17"/>
                                      </w:rPr>
                                      <w:t>with</w:t>
                                    </w:r>
                                    <w:proofErr w:type="spellEnd"/>
                                    <w:r>
                                      <w:rPr>
                                        <w:rFonts w:ascii="Arial" w:hAnsi="Arial" w:cs="Arial"/>
                                        <w:color w:val="58585A"/>
                                        <w:sz w:val="17"/>
                                        <w:szCs w:val="17"/>
                                      </w:rPr>
                                      <w:t xml:space="preserve"> </w:t>
                                    </w:r>
                                    <w:proofErr w:type="spellStart"/>
                                    <w:r>
                                      <w:rPr>
                                        <w:rFonts w:ascii="Arial" w:hAnsi="Arial" w:cs="Arial"/>
                                        <w:color w:val="58585A"/>
                                        <w:sz w:val="17"/>
                                        <w:szCs w:val="17"/>
                                      </w:rPr>
                                      <w:t>the</w:t>
                                    </w:r>
                                    <w:proofErr w:type="spellEnd"/>
                                    <w:r>
                                      <w:rPr>
                                        <w:rFonts w:ascii="Arial" w:hAnsi="Arial" w:cs="Arial"/>
                                        <w:color w:val="58585A"/>
                                        <w:sz w:val="17"/>
                                        <w:szCs w:val="17"/>
                                      </w:rPr>
                                      <w:t xml:space="preserve"> </w:t>
                                    </w:r>
                                    <w:proofErr w:type="spellStart"/>
                                    <w:r>
                                      <w:rPr>
                                        <w:rFonts w:ascii="Arial" w:hAnsi="Arial" w:cs="Arial"/>
                                        <w:color w:val="58585A"/>
                                        <w:sz w:val="17"/>
                                        <w:szCs w:val="17"/>
                                      </w:rPr>
                                      <w:t>notion</w:t>
                                    </w:r>
                                    <w:proofErr w:type="spellEnd"/>
                                    <w:r>
                                      <w:rPr>
                                        <w:rFonts w:ascii="Arial" w:hAnsi="Arial" w:cs="Arial"/>
                                        <w:color w:val="58585A"/>
                                        <w:sz w:val="17"/>
                                        <w:szCs w:val="17"/>
                                      </w:rPr>
                                      <w:t xml:space="preserve"> </w:t>
                                    </w:r>
                                    <w:proofErr w:type="spellStart"/>
                                    <w:r>
                                      <w:rPr>
                                        <w:rFonts w:ascii="Arial" w:hAnsi="Arial" w:cs="Arial"/>
                                        <w:color w:val="58585A"/>
                                        <w:sz w:val="17"/>
                                        <w:szCs w:val="17"/>
                                      </w:rPr>
                                      <w:t>that</w:t>
                                    </w:r>
                                    <w:proofErr w:type="spellEnd"/>
                                    <w:r>
                                      <w:rPr>
                                        <w:rFonts w:ascii="Arial" w:hAnsi="Arial" w:cs="Arial"/>
                                        <w:color w:val="58585A"/>
                                        <w:sz w:val="17"/>
                                        <w:szCs w:val="17"/>
                                      </w:rPr>
                                      <w:t xml:space="preserve">, in </w:t>
                                    </w:r>
                                    <w:proofErr w:type="spellStart"/>
                                    <w:r>
                                      <w:rPr>
                                        <w:rFonts w:ascii="Arial" w:hAnsi="Arial" w:cs="Arial"/>
                                        <w:color w:val="58585A"/>
                                        <w:sz w:val="17"/>
                                        <w:szCs w:val="17"/>
                                      </w:rPr>
                                      <w:t>producing</w:t>
                                    </w:r>
                                    <w:proofErr w:type="spellEnd"/>
                                    <w:r>
                                      <w:rPr>
                                        <w:rFonts w:ascii="Arial" w:hAnsi="Arial" w:cs="Arial"/>
                                        <w:color w:val="58585A"/>
                                        <w:sz w:val="17"/>
                                        <w:szCs w:val="17"/>
                                      </w:rPr>
                                      <w:t xml:space="preserve"> human </w:t>
                                    </w:r>
                                    <w:proofErr w:type="spellStart"/>
                                    <w:r>
                                      <w:rPr>
                                        <w:rFonts w:ascii="Arial" w:hAnsi="Arial" w:cs="Arial"/>
                                        <w:color w:val="58585A"/>
                                        <w:sz w:val="17"/>
                                        <w:szCs w:val="17"/>
                                      </w:rPr>
                                      <w:t>capital</w:t>
                                    </w:r>
                                    <w:proofErr w:type="spellEnd"/>
                                    <w:r>
                                      <w:rPr>
                                        <w:rFonts w:ascii="Arial" w:hAnsi="Arial" w:cs="Arial"/>
                                        <w:color w:val="58585A"/>
                                        <w:sz w:val="17"/>
                                        <w:szCs w:val="17"/>
                                      </w:rPr>
                                      <w:t xml:space="preserve">, </w:t>
                                    </w:r>
                                    <w:proofErr w:type="spellStart"/>
                                    <w:r>
                                      <w:rPr>
                                        <w:rFonts w:ascii="Arial" w:hAnsi="Arial" w:cs="Arial"/>
                                        <w:color w:val="58585A"/>
                                        <w:sz w:val="17"/>
                                        <w:szCs w:val="17"/>
                                      </w:rPr>
                                      <w:t>work</w:t>
                                    </w:r>
                                    <w:proofErr w:type="spellEnd"/>
                                    <w:r>
                                      <w:rPr>
                                        <w:rFonts w:ascii="Arial" w:hAnsi="Arial" w:cs="Arial"/>
                                        <w:color w:val="58585A"/>
                                        <w:sz w:val="17"/>
                                        <w:szCs w:val="17"/>
                                      </w:rPr>
                                      <w:t xml:space="preserve"> </w:t>
                                    </w:r>
                                    <w:proofErr w:type="spellStart"/>
                                    <w:r>
                                      <w:rPr>
                                        <w:rFonts w:ascii="Arial" w:hAnsi="Arial" w:cs="Arial"/>
                                        <w:color w:val="58585A"/>
                                        <w:sz w:val="17"/>
                                        <w:szCs w:val="17"/>
                                      </w:rPr>
                                      <w:t>experience</w:t>
                                    </w:r>
                                    <w:proofErr w:type="spellEnd"/>
                                    <w:r>
                                      <w:rPr>
                                        <w:rFonts w:ascii="Arial" w:hAnsi="Arial" w:cs="Arial"/>
                                        <w:color w:val="58585A"/>
                                        <w:sz w:val="17"/>
                                        <w:szCs w:val="17"/>
                                      </w:rPr>
                                      <w:t xml:space="preserve"> </w:t>
                                    </w:r>
                                    <w:proofErr w:type="spellStart"/>
                                    <w:r>
                                      <w:rPr>
                                        <w:rFonts w:ascii="Arial" w:hAnsi="Arial" w:cs="Arial"/>
                                        <w:color w:val="58585A"/>
                                        <w:sz w:val="17"/>
                                        <w:szCs w:val="17"/>
                                      </w:rPr>
                                      <w:t>substitutes</w:t>
                                    </w:r>
                                    <w:proofErr w:type="spellEnd"/>
                                    <w:r>
                                      <w:rPr>
                                        <w:rFonts w:ascii="Arial" w:hAnsi="Arial" w:cs="Arial"/>
                                        <w:color w:val="58585A"/>
                                        <w:sz w:val="17"/>
                                        <w:szCs w:val="17"/>
                                      </w:rPr>
                                      <w:t xml:space="preserve"> </w:t>
                                    </w:r>
                                    <w:proofErr w:type="spellStart"/>
                                    <w:r>
                                      <w:rPr>
                                        <w:rFonts w:ascii="Arial" w:hAnsi="Arial" w:cs="Arial"/>
                                        <w:color w:val="58585A"/>
                                        <w:sz w:val="17"/>
                                        <w:szCs w:val="17"/>
                                      </w:rPr>
                                      <w:t>formal</w:t>
                                    </w:r>
                                    <w:proofErr w:type="spellEnd"/>
                                    <w:r>
                                      <w:rPr>
                                        <w:rFonts w:ascii="Arial" w:hAnsi="Arial" w:cs="Arial"/>
                                        <w:color w:val="58585A"/>
                                        <w:sz w:val="17"/>
                                        <w:szCs w:val="17"/>
                                      </w:rPr>
                                      <w:t xml:space="preserve"> </w:t>
                                    </w:r>
                                    <w:proofErr w:type="spellStart"/>
                                    <w:r>
                                      <w:rPr>
                                        <w:rFonts w:ascii="Arial" w:hAnsi="Arial" w:cs="Arial"/>
                                        <w:color w:val="58585A"/>
                                        <w:sz w:val="17"/>
                                        <w:szCs w:val="17"/>
                                      </w:rPr>
                                      <w:t>education</w:t>
                                    </w:r>
                                    <w:proofErr w:type="spellEnd"/>
                                    <w:r>
                                      <w:rPr>
                                        <w:rFonts w:ascii="Arial" w:hAnsi="Arial" w:cs="Arial"/>
                                        <w:color w:val="58585A"/>
                                        <w:sz w:val="17"/>
                                        <w:szCs w:val="17"/>
                                      </w:rPr>
                                      <w:t xml:space="preserve"> at </w:t>
                                    </w:r>
                                    <w:proofErr w:type="spellStart"/>
                                    <w:r>
                                      <w:rPr>
                                        <w:rFonts w:ascii="Arial" w:hAnsi="Arial" w:cs="Arial"/>
                                        <w:color w:val="58585A"/>
                                        <w:sz w:val="17"/>
                                        <w:szCs w:val="17"/>
                                      </w:rPr>
                                      <w:t>the</w:t>
                                    </w:r>
                                    <w:proofErr w:type="spellEnd"/>
                                    <w:r>
                                      <w:rPr>
                                        <w:rFonts w:ascii="Arial" w:hAnsi="Arial" w:cs="Arial"/>
                                        <w:color w:val="58585A"/>
                                        <w:sz w:val="17"/>
                                        <w:szCs w:val="17"/>
                                      </w:rPr>
                                      <w:t xml:space="preserve"> </w:t>
                                    </w:r>
                                    <w:proofErr w:type="spellStart"/>
                                    <w:r>
                                      <w:rPr>
                                        <w:rFonts w:ascii="Arial" w:hAnsi="Arial" w:cs="Arial"/>
                                        <w:color w:val="58585A"/>
                                        <w:sz w:val="17"/>
                                        <w:szCs w:val="17"/>
                                      </w:rPr>
                                      <w:t>bottom</w:t>
                                    </w:r>
                                    <w:proofErr w:type="spellEnd"/>
                                    <w:r>
                                      <w:rPr>
                                        <w:rFonts w:ascii="Arial" w:hAnsi="Arial" w:cs="Arial"/>
                                        <w:color w:val="58585A"/>
                                        <w:sz w:val="17"/>
                                        <w:szCs w:val="17"/>
                                      </w:rPr>
                                      <w:t xml:space="preserve"> of </w:t>
                                    </w:r>
                                    <w:proofErr w:type="spellStart"/>
                                    <w:r>
                                      <w:rPr>
                                        <w:rFonts w:ascii="Arial" w:hAnsi="Arial" w:cs="Arial"/>
                                        <w:color w:val="58585A"/>
                                        <w:sz w:val="17"/>
                                        <w:szCs w:val="17"/>
                                      </w:rPr>
                                      <w:t>the</w:t>
                                    </w:r>
                                    <w:proofErr w:type="spellEnd"/>
                                    <w:r>
                                      <w:rPr>
                                        <w:rFonts w:ascii="Arial" w:hAnsi="Arial" w:cs="Arial"/>
                                        <w:color w:val="58585A"/>
                                        <w:sz w:val="17"/>
                                        <w:szCs w:val="17"/>
                                      </w:rPr>
                                      <w:t xml:space="preserve"> </w:t>
                                    </w:r>
                                    <w:proofErr w:type="spellStart"/>
                                    <w:r>
                                      <w:rPr>
                                        <w:rFonts w:ascii="Arial" w:hAnsi="Arial" w:cs="Arial"/>
                                        <w:color w:val="58585A"/>
                                        <w:sz w:val="17"/>
                                        <w:szCs w:val="17"/>
                                      </w:rPr>
                                      <w:t>schooling</w:t>
                                    </w:r>
                                    <w:proofErr w:type="spellEnd"/>
                                    <w:r>
                                      <w:rPr>
                                        <w:rFonts w:ascii="Arial" w:hAnsi="Arial" w:cs="Arial"/>
                                        <w:color w:val="58585A"/>
                                        <w:sz w:val="17"/>
                                        <w:szCs w:val="17"/>
                                      </w:rPr>
                                      <w:t xml:space="preserve"> </w:t>
                                    </w:r>
                                    <w:proofErr w:type="spellStart"/>
                                    <w:r>
                                      <w:rPr>
                                        <w:rFonts w:ascii="Arial" w:hAnsi="Arial" w:cs="Arial"/>
                                        <w:color w:val="58585A"/>
                                        <w:sz w:val="17"/>
                                        <w:szCs w:val="17"/>
                                      </w:rPr>
                                      <w:t>distribution</w:t>
                                    </w:r>
                                    <w:proofErr w:type="spellEnd"/>
                                    <w:r>
                                      <w:rPr>
                                        <w:rFonts w:ascii="Arial" w:hAnsi="Arial" w:cs="Arial"/>
                                        <w:color w:val="58585A"/>
                                        <w:sz w:val="17"/>
                                        <w:szCs w:val="17"/>
                                      </w:rPr>
                                      <w:t>.</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59" w:tgtFrame="_blank" w:history="1">
                                      <w:r>
                                        <w:rPr>
                                          <w:rStyle w:val="Hyperlink"/>
                                          <w:rFonts w:ascii="Arial" w:eastAsia="Times New Roman" w:hAnsi="Arial" w:cs="Arial"/>
                                          <w:b/>
                                          <w:bCs/>
                                          <w:color w:val="8A0066"/>
                                          <w:sz w:val="17"/>
                                          <w:szCs w:val="17"/>
                                        </w:rPr>
                                        <w:t>Bericht OECD</w:t>
                                      </w:r>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4A1A83">
                                <w:trPr>
                                  <w:tblCellSpacing w:w="0" w:type="dxa"/>
                                </w:trPr>
                                <w:tc>
                                  <w:tcPr>
                                    <w:tcW w:w="0" w:type="auto"/>
                                    <w:hideMark/>
                                  </w:tcPr>
                                  <w:p w:rsidR="004A1A83" w:rsidRDefault="004A1A83">
                                    <w:pPr>
                                      <w:rPr>
                                        <w:rFonts w:ascii="Arial" w:eastAsia="Times New Roman" w:hAnsi="Arial" w:cs="Arial"/>
                                        <w:color w:val="8A0066"/>
                                        <w:sz w:val="20"/>
                                        <w:szCs w:val="20"/>
                                      </w:rPr>
                                    </w:pPr>
                                    <w:r>
                                      <w:rPr>
                                        <w:rFonts w:ascii="Arial" w:eastAsia="Times New Roman" w:hAnsi="Arial" w:cs="Arial"/>
                                        <w:b/>
                                        <w:bCs/>
                                        <w:color w:val="8A0066"/>
                                        <w:sz w:val="20"/>
                                        <w:szCs w:val="20"/>
                                      </w:rPr>
                                      <w:t>Mbo speelt belangrijke rol bij verminderen voortijdig schoolverlaters in de EU</w:t>
                                    </w:r>
                                  </w:p>
                                </w:tc>
                              </w:tr>
                              <w:tr w:rsidR="004A1A83">
                                <w:trPr>
                                  <w:tblCellSpacing w:w="0" w:type="dxa"/>
                                </w:trPr>
                                <w:tc>
                                  <w:tcPr>
                                    <w:tcW w:w="0" w:type="auto"/>
                                    <w:tcMar>
                                      <w:top w:w="150" w:type="dxa"/>
                                      <w:left w:w="0" w:type="dxa"/>
                                      <w:bottom w:w="210" w:type="dxa"/>
                                      <w:right w:w="0" w:type="dxa"/>
                                    </w:tcMar>
                                    <w:hideMark/>
                                  </w:tcPr>
                                  <w:p w:rsidR="004A1A83" w:rsidRDefault="004A1A83">
                                    <w:pPr>
                                      <w:pStyle w:val="Normaalweb"/>
                                      <w:spacing w:line="225" w:lineRule="exact"/>
                                      <w:rPr>
                                        <w:rFonts w:ascii="Arial" w:hAnsi="Arial" w:cs="Arial"/>
                                        <w:color w:val="58585A"/>
                                        <w:sz w:val="17"/>
                                        <w:szCs w:val="17"/>
                                      </w:rPr>
                                    </w:pPr>
                                    <w:r>
                                      <w:rPr>
                                        <w:rFonts w:ascii="Arial" w:hAnsi="Arial" w:cs="Arial"/>
                                        <w:color w:val="58585A"/>
                                        <w:sz w:val="17"/>
                                        <w:szCs w:val="17"/>
                                      </w:rPr>
                                      <w:t xml:space="preserve">Het middelbaar beroepsonderwijs kan een belangrijke rol spelen bij het verminderen van het aantal voortijdige schoolverlaters binnen de EU. Dit blijkt uit het recente </w:t>
                                    </w:r>
                                    <w:proofErr w:type="spellStart"/>
                                    <w:r>
                                      <w:rPr>
                                        <w:rFonts w:ascii="Arial" w:hAnsi="Arial" w:cs="Arial"/>
                                        <w:color w:val="58585A"/>
                                        <w:sz w:val="17"/>
                                        <w:szCs w:val="17"/>
                                      </w:rPr>
                                      <w:t>Cedefop</w:t>
                                    </w:r>
                                    <w:proofErr w:type="spellEnd"/>
                                    <w:r>
                                      <w:rPr>
                                        <w:rFonts w:ascii="Arial" w:hAnsi="Arial" w:cs="Arial"/>
                                        <w:color w:val="58585A"/>
                                        <w:sz w:val="17"/>
                                        <w:szCs w:val="17"/>
                                      </w:rPr>
                                      <w:t xml:space="preserve"> rapport </w:t>
                                    </w:r>
                                    <w:proofErr w:type="spellStart"/>
                                    <w:r>
                                      <w:rPr>
                                        <w:rFonts w:ascii="Arial" w:hAnsi="Arial" w:cs="Arial"/>
                                        <w:i/>
                                        <w:iCs/>
                                        <w:color w:val="58585A"/>
                                        <w:sz w:val="17"/>
                                        <w:szCs w:val="17"/>
                                      </w:rPr>
                                      <w:t>Leaving</w:t>
                                    </w:r>
                                    <w:proofErr w:type="spellEnd"/>
                                    <w:r>
                                      <w:rPr>
                                        <w:rFonts w:ascii="Arial" w:hAnsi="Arial" w:cs="Arial"/>
                                        <w:i/>
                                        <w:iCs/>
                                        <w:color w:val="58585A"/>
                                        <w:sz w:val="17"/>
                                        <w:szCs w:val="17"/>
                                      </w:rPr>
                                      <w:t xml:space="preserve"> </w:t>
                                    </w:r>
                                    <w:proofErr w:type="spellStart"/>
                                    <w:r>
                                      <w:rPr>
                                        <w:rFonts w:ascii="Arial" w:hAnsi="Arial" w:cs="Arial"/>
                                        <w:i/>
                                        <w:iCs/>
                                        <w:color w:val="58585A"/>
                                        <w:sz w:val="17"/>
                                        <w:szCs w:val="17"/>
                                      </w:rPr>
                                      <w:t>education</w:t>
                                    </w:r>
                                    <w:proofErr w:type="spellEnd"/>
                                    <w:r>
                                      <w:rPr>
                                        <w:rFonts w:ascii="Arial" w:hAnsi="Arial" w:cs="Arial"/>
                                        <w:i/>
                                        <w:iCs/>
                                        <w:color w:val="58585A"/>
                                        <w:sz w:val="17"/>
                                        <w:szCs w:val="17"/>
                                      </w:rPr>
                                      <w:t xml:space="preserve"> </w:t>
                                    </w:r>
                                    <w:proofErr w:type="spellStart"/>
                                    <w:r>
                                      <w:rPr>
                                        <w:rFonts w:ascii="Arial" w:hAnsi="Arial" w:cs="Arial"/>
                                        <w:i/>
                                        <w:iCs/>
                                        <w:color w:val="58585A"/>
                                        <w:sz w:val="17"/>
                                        <w:szCs w:val="17"/>
                                      </w:rPr>
                                      <w:t>early</w:t>
                                    </w:r>
                                    <w:proofErr w:type="spellEnd"/>
                                    <w:r>
                                      <w:rPr>
                                        <w:rFonts w:ascii="Arial" w:hAnsi="Arial" w:cs="Arial"/>
                                        <w:i/>
                                        <w:iCs/>
                                        <w:color w:val="58585A"/>
                                        <w:sz w:val="17"/>
                                        <w:szCs w:val="17"/>
                                      </w:rPr>
                                      <w:t xml:space="preserve">: putting </w:t>
                                    </w:r>
                                    <w:proofErr w:type="spellStart"/>
                                    <w:r>
                                      <w:rPr>
                                        <w:rFonts w:ascii="Arial" w:hAnsi="Arial" w:cs="Arial"/>
                                        <w:i/>
                                        <w:iCs/>
                                        <w:color w:val="58585A"/>
                                        <w:sz w:val="17"/>
                                        <w:szCs w:val="17"/>
                                      </w:rPr>
                                      <w:t>vocational</w:t>
                                    </w:r>
                                    <w:proofErr w:type="spellEnd"/>
                                    <w:r>
                                      <w:rPr>
                                        <w:rFonts w:ascii="Arial" w:hAnsi="Arial" w:cs="Arial"/>
                                        <w:i/>
                                        <w:iCs/>
                                        <w:color w:val="58585A"/>
                                        <w:sz w:val="17"/>
                                        <w:szCs w:val="17"/>
                                      </w:rPr>
                                      <w:t xml:space="preserve"> </w:t>
                                    </w:r>
                                    <w:proofErr w:type="spellStart"/>
                                    <w:r>
                                      <w:rPr>
                                        <w:rFonts w:ascii="Arial" w:hAnsi="Arial" w:cs="Arial"/>
                                        <w:i/>
                                        <w:iCs/>
                                        <w:color w:val="58585A"/>
                                        <w:sz w:val="17"/>
                                        <w:szCs w:val="17"/>
                                      </w:rPr>
                                      <w:t>education</w:t>
                                    </w:r>
                                    <w:proofErr w:type="spellEnd"/>
                                    <w:r>
                                      <w:rPr>
                                        <w:rFonts w:ascii="Arial" w:hAnsi="Arial" w:cs="Arial"/>
                                        <w:i/>
                                        <w:iCs/>
                                        <w:color w:val="58585A"/>
                                        <w:sz w:val="17"/>
                                        <w:szCs w:val="17"/>
                                      </w:rPr>
                                      <w:t xml:space="preserve"> </w:t>
                                    </w:r>
                                    <w:proofErr w:type="spellStart"/>
                                    <w:r>
                                      <w:rPr>
                                        <w:rFonts w:ascii="Arial" w:hAnsi="Arial" w:cs="Arial"/>
                                        <w:i/>
                                        <w:iCs/>
                                        <w:color w:val="58585A"/>
                                        <w:sz w:val="17"/>
                                        <w:szCs w:val="17"/>
                                      </w:rPr>
                                      <w:t>and</w:t>
                                    </w:r>
                                    <w:proofErr w:type="spellEnd"/>
                                    <w:r>
                                      <w:rPr>
                                        <w:rFonts w:ascii="Arial" w:hAnsi="Arial" w:cs="Arial"/>
                                        <w:i/>
                                        <w:iCs/>
                                        <w:color w:val="58585A"/>
                                        <w:sz w:val="17"/>
                                        <w:szCs w:val="17"/>
                                      </w:rPr>
                                      <w:t xml:space="preserve"> training </w:t>
                                    </w:r>
                                    <w:proofErr w:type="spellStart"/>
                                    <w:r>
                                      <w:rPr>
                                        <w:rFonts w:ascii="Arial" w:hAnsi="Arial" w:cs="Arial"/>
                                        <w:i/>
                                        <w:iCs/>
                                        <w:color w:val="58585A"/>
                                        <w:sz w:val="17"/>
                                        <w:szCs w:val="17"/>
                                      </w:rPr>
                                      <w:t>centre</w:t>
                                    </w:r>
                                    <w:proofErr w:type="spellEnd"/>
                                    <w:r>
                                      <w:rPr>
                                        <w:rFonts w:ascii="Arial" w:hAnsi="Arial" w:cs="Arial"/>
                                        <w:i/>
                                        <w:iCs/>
                                        <w:color w:val="58585A"/>
                                        <w:sz w:val="17"/>
                                        <w:szCs w:val="17"/>
                                      </w:rPr>
                                      <w:t xml:space="preserve"> stage</w:t>
                                    </w:r>
                                    <w:r>
                                      <w:rPr>
                                        <w:rFonts w:ascii="Arial" w:hAnsi="Arial" w:cs="Arial"/>
                                        <w:color w:val="58585A"/>
                                        <w:sz w:val="17"/>
                                        <w:szCs w:val="17"/>
                                      </w:rPr>
                                      <w:t>. In het rapport worden 44 succesvolle initiatieven beschreven waarmee voortijdig schoolverlaten kan worden tegengegaan.</w:t>
                                    </w:r>
                                  </w:p>
                                </w:tc>
                              </w:tr>
                              <w:tr w:rsidR="004A1A83">
                                <w:trPr>
                                  <w:tblCellSpacing w:w="0" w:type="dxa"/>
                                </w:trPr>
                                <w:tc>
                                  <w:tcPr>
                                    <w:tcW w:w="0" w:type="auto"/>
                                    <w:vAlign w:val="center"/>
                                    <w:hideMark/>
                                  </w:tcPr>
                                  <w:p w:rsidR="004A1A83" w:rsidRDefault="004A1A83">
                                    <w:pPr>
                                      <w:rPr>
                                        <w:rFonts w:ascii="Arial" w:eastAsia="Times New Roman" w:hAnsi="Arial" w:cs="Arial"/>
                                        <w:b/>
                                        <w:bCs/>
                                        <w:color w:val="8A0066"/>
                                        <w:sz w:val="17"/>
                                        <w:szCs w:val="17"/>
                                      </w:rPr>
                                    </w:pPr>
                                    <w:hyperlink r:id="rId60" w:tgtFrame="_blank" w:history="1">
                                      <w:r>
                                        <w:rPr>
                                          <w:rStyle w:val="Hyperlink"/>
                                          <w:rFonts w:ascii="Arial" w:eastAsia="Times New Roman" w:hAnsi="Arial" w:cs="Arial"/>
                                          <w:b/>
                                          <w:bCs/>
                                          <w:color w:val="8A0066"/>
                                          <w:sz w:val="17"/>
                                          <w:szCs w:val="17"/>
                                        </w:rPr>
                                        <w:t xml:space="preserve">Bericht </w:t>
                                      </w:r>
                                      <w:proofErr w:type="spellStart"/>
                                      <w:r>
                                        <w:rPr>
                                          <w:rStyle w:val="Hyperlink"/>
                                          <w:rFonts w:ascii="Arial" w:eastAsia="Times New Roman" w:hAnsi="Arial" w:cs="Arial"/>
                                          <w:b/>
                                          <w:bCs/>
                                          <w:color w:val="8A0066"/>
                                          <w:sz w:val="17"/>
                                          <w:szCs w:val="17"/>
                                        </w:rPr>
                                        <w:t>Neth-ER</w:t>
                                      </w:r>
                                      <w:proofErr w:type="spellEnd"/>
                                    </w:hyperlink>
                                    <w:r>
                                      <w:rPr>
                                        <w:rFonts w:ascii="Arial" w:eastAsia="Times New Roman" w:hAnsi="Arial" w:cs="Arial"/>
                                        <w:b/>
                                        <w:bCs/>
                                        <w:color w:val="8A0066"/>
                                        <w:sz w:val="17"/>
                                        <w:szCs w:val="17"/>
                                      </w:rPr>
                                      <w:t> &gt;&gt;</w:t>
                                    </w:r>
                                  </w:p>
                                </w:tc>
                              </w:tr>
                            </w:tbl>
                            <w:p w:rsidR="004A1A83" w:rsidRDefault="004A1A83">
                              <w:pPr>
                                <w:rPr>
                                  <w:rFonts w:eastAsia="Times New Roman"/>
                                  <w:sz w:val="20"/>
                                  <w:szCs w:val="20"/>
                                </w:rPr>
                              </w:pP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ascii="Arial" w:eastAsia="Times New Roman" w:hAnsi="Arial" w:cs="Arial"/>
                            <w:vanish/>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rHeight w:val="13"/>
                            <w:tblCellSpacing w:w="0" w:type="dxa"/>
                            <w:jc w:val="center"/>
                          </w:trPr>
                          <w:tc>
                            <w:tcPr>
                              <w:tcW w:w="0" w:type="auto"/>
                              <w:shd w:val="clear" w:color="auto" w:fill="58585A"/>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noProof/>
                                  <w:color w:val="58585A"/>
                                  <w:sz w:val="2"/>
                                  <w:szCs w:val="2"/>
                                </w:rPr>
                                <w:drawing>
                                  <wp:inline distT="0" distB="0" distL="0" distR="0">
                                    <wp:extent cx="8255" cy="8255"/>
                                    <wp:effectExtent l="0" t="0" r="0" b="0"/>
                                    <wp:docPr id="3" name="Afbeelding 3" descr="http://images.m15.mailplus.nl/ts/cinop/Nieuwsbrief_Signaal__responsive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15.mailplus.nl/ts/cinop/Nieuwsbrief_Signaal__responsive_/images/1.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4A1A83">
                          <w:trPr>
                            <w:trHeight w:val="367"/>
                            <w:tblCellSpacing w:w="0" w:type="dxa"/>
                            <w:jc w:val="center"/>
                          </w:trPr>
                          <w:tc>
                            <w:tcPr>
                              <w:tcW w:w="0" w:type="auto"/>
                              <w:vAlign w:val="center"/>
                              <w:hideMark/>
                            </w:tcPr>
                            <w:p w:rsidR="004A1A83" w:rsidRDefault="004A1A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4A1A83" w:rsidRDefault="004A1A83">
                        <w:pPr>
                          <w:jc w:val="center"/>
                          <w:rPr>
                            <w:rFonts w:eastAsia="Times New Roman"/>
                            <w:sz w:val="20"/>
                            <w:szCs w:val="20"/>
                          </w:rPr>
                        </w:pPr>
                      </w:p>
                    </w:tc>
                  </w:tr>
                </w:tbl>
                <w:p w:rsidR="004A1A83" w:rsidRDefault="004A1A83">
                  <w:pPr>
                    <w:jc w:val="center"/>
                    <w:rPr>
                      <w:rFonts w:eastAsia="Times New Roman"/>
                      <w:sz w:val="20"/>
                      <w:szCs w:val="20"/>
                    </w:rPr>
                  </w:pPr>
                </w:p>
              </w:tc>
            </w:tr>
          </w:tbl>
          <w:p w:rsidR="004A1A83" w:rsidRDefault="004A1A83">
            <w:pPr>
              <w:jc w:val="center"/>
              <w:rPr>
                <w:rFonts w:ascii="Arial" w:eastAsia="Times New Roman" w:hAnsi="Arial" w:cs="Arial"/>
                <w:color w:val="58585A"/>
                <w:sz w:val="17"/>
                <w:szCs w:val="17"/>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1A83">
              <w:trPr>
                <w:tblCellSpacing w:w="0" w:type="dxa"/>
                <w:jc w:val="center"/>
              </w:trPr>
              <w:tc>
                <w:tcPr>
                  <w:tcW w:w="0" w:type="auto"/>
                  <w:shd w:val="clear" w:color="auto" w:fill="890066"/>
                  <w:hideMark/>
                </w:tcPr>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4A1A83">
                    <w:trPr>
                      <w:tblCellSpacing w:w="0" w:type="dxa"/>
                      <w:jc w:val="center"/>
                    </w:trPr>
                    <w:tc>
                      <w:tcPr>
                        <w:tcW w:w="0" w:type="auto"/>
                        <w:tcMar>
                          <w:top w:w="900" w:type="dxa"/>
                          <w:left w:w="0" w:type="dxa"/>
                          <w:bottom w:w="1035" w:type="dxa"/>
                          <w:right w:w="0" w:type="dxa"/>
                        </w:tcMar>
                        <w:hideMark/>
                      </w:tcPr>
                      <w:tbl>
                        <w:tblPr>
                          <w:tblW w:w="5000" w:type="pct"/>
                          <w:jc w:val="center"/>
                          <w:tblCellSpacing w:w="0" w:type="dxa"/>
                          <w:shd w:val="clear" w:color="auto" w:fill="890066"/>
                          <w:tblCellMar>
                            <w:left w:w="0" w:type="dxa"/>
                            <w:right w:w="0" w:type="dxa"/>
                          </w:tblCellMar>
                          <w:tblLook w:val="04A0" w:firstRow="1" w:lastRow="0" w:firstColumn="1" w:lastColumn="0" w:noHBand="0" w:noVBand="1"/>
                        </w:tblPr>
                        <w:tblGrid>
                          <w:gridCol w:w="5027"/>
                          <w:gridCol w:w="262"/>
                          <w:gridCol w:w="2566"/>
                        </w:tblGrid>
                        <w:tr w:rsidR="004A1A83" w:rsidTr="004A1A83">
                          <w:trPr>
                            <w:trHeight w:val="511"/>
                            <w:tblCellSpacing w:w="0" w:type="dxa"/>
                            <w:jc w:val="center"/>
                          </w:trPr>
                          <w:tc>
                            <w:tcPr>
                              <w:tcW w:w="5027" w:type="dxa"/>
                              <w:shd w:val="clear" w:color="auto" w:fill="890066"/>
                            </w:tcPr>
                            <w:p w:rsidR="004A1A83" w:rsidRDefault="004A1A83">
                              <w:pPr>
                                <w:rPr>
                                  <w:rFonts w:eastAsia="Times New Roman"/>
                                  <w:sz w:val="20"/>
                                  <w:szCs w:val="20"/>
                                </w:rPr>
                              </w:pPr>
                            </w:p>
                          </w:tc>
                          <w:tc>
                            <w:tcPr>
                              <w:tcW w:w="262" w:type="dxa"/>
                              <w:shd w:val="clear" w:color="auto" w:fill="890066"/>
                              <w:vAlign w:val="center"/>
                            </w:tcPr>
                            <w:p w:rsidR="004A1A83" w:rsidRDefault="004A1A83">
                              <w:pPr>
                                <w:spacing w:line="0" w:lineRule="atLeast"/>
                                <w:rPr>
                                  <w:rFonts w:ascii="Arial" w:eastAsia="Times New Roman" w:hAnsi="Arial" w:cs="Arial"/>
                                  <w:color w:val="58585A"/>
                                  <w:sz w:val="2"/>
                                  <w:szCs w:val="2"/>
                                </w:rPr>
                              </w:pPr>
                            </w:p>
                          </w:tc>
                          <w:tc>
                            <w:tcPr>
                              <w:tcW w:w="0" w:type="auto"/>
                              <w:shd w:val="clear" w:color="auto" w:fill="890066"/>
                            </w:tcPr>
                            <w:p w:rsidR="004A1A83" w:rsidRDefault="004A1A83">
                              <w:pPr>
                                <w:rPr>
                                  <w:rFonts w:eastAsia="Times New Roman"/>
                                  <w:sz w:val="20"/>
                                  <w:szCs w:val="20"/>
                                </w:rPr>
                              </w:pPr>
                            </w:p>
                          </w:tc>
                        </w:tr>
                      </w:tbl>
                      <w:p w:rsidR="004A1A83" w:rsidRDefault="004A1A83">
                        <w:pPr>
                          <w:jc w:val="center"/>
                          <w:rPr>
                            <w:rFonts w:eastAsia="Times New Roman"/>
                            <w:sz w:val="20"/>
                            <w:szCs w:val="20"/>
                          </w:rPr>
                        </w:pPr>
                      </w:p>
                    </w:tc>
                  </w:tr>
                </w:tbl>
                <w:p w:rsidR="004A1A83" w:rsidRDefault="004A1A83">
                  <w:pPr>
                    <w:jc w:val="center"/>
                    <w:rPr>
                      <w:rFonts w:eastAsia="Times New Roman"/>
                      <w:sz w:val="20"/>
                      <w:szCs w:val="20"/>
                    </w:rPr>
                  </w:pPr>
                </w:p>
              </w:tc>
            </w:tr>
            <w:tr w:rsidR="004A1A83">
              <w:trPr>
                <w:tblCellSpacing w:w="0" w:type="dxa"/>
                <w:jc w:val="center"/>
              </w:trPr>
              <w:tc>
                <w:tcPr>
                  <w:tcW w:w="0" w:type="auto"/>
                  <w:tcMar>
                    <w:top w:w="255" w:type="dxa"/>
                    <w:left w:w="360" w:type="dxa"/>
                    <w:bottom w:w="285" w:type="dxa"/>
                    <w:right w:w="36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6"/>
                  </w:tblGrid>
                  <w:tr w:rsidR="004A1A83" w:rsidTr="004A1A83">
                    <w:trPr>
                      <w:tblCellSpacing w:w="0" w:type="dxa"/>
                      <w:jc w:val="center"/>
                    </w:trPr>
                    <w:tc>
                      <w:tcPr>
                        <w:tcW w:w="0" w:type="auto"/>
                        <w:vAlign w:val="center"/>
                      </w:tcPr>
                      <w:p w:rsidR="004A1A83" w:rsidRDefault="004A1A83">
                        <w:pPr>
                          <w:jc w:val="right"/>
                          <w:rPr>
                            <w:rFonts w:eastAsia="Times New Roman"/>
                            <w:sz w:val="20"/>
                            <w:szCs w:val="20"/>
                          </w:rPr>
                        </w:pPr>
                      </w:p>
                    </w:tc>
                    <w:tc>
                      <w:tcPr>
                        <w:tcW w:w="0" w:type="auto"/>
                        <w:vAlign w:val="center"/>
                      </w:tcPr>
                      <w:p w:rsidR="004A1A83" w:rsidRDefault="004A1A83">
                        <w:pPr>
                          <w:rPr>
                            <w:rFonts w:eastAsia="Times New Roman"/>
                            <w:sz w:val="20"/>
                            <w:szCs w:val="20"/>
                          </w:rPr>
                        </w:pPr>
                      </w:p>
                    </w:tc>
                  </w:tr>
                </w:tbl>
                <w:p w:rsidR="004A1A83" w:rsidRDefault="004A1A83">
                  <w:pPr>
                    <w:jc w:val="center"/>
                    <w:rPr>
                      <w:rFonts w:eastAsia="Times New Roman"/>
                      <w:sz w:val="20"/>
                      <w:szCs w:val="20"/>
                    </w:rPr>
                  </w:pPr>
                </w:p>
              </w:tc>
            </w:tr>
          </w:tbl>
          <w:p w:rsidR="004A1A83" w:rsidRDefault="004A1A83">
            <w:pPr>
              <w:jc w:val="center"/>
              <w:rPr>
                <w:rFonts w:eastAsia="Times New Roman"/>
                <w:sz w:val="20"/>
                <w:szCs w:val="20"/>
              </w:rPr>
            </w:pPr>
          </w:p>
        </w:tc>
        <w:bookmarkStart w:id="0" w:name="_GoBack"/>
        <w:bookmarkEnd w:id="0"/>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83"/>
    <w:rsid w:val="004A1A83"/>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50D7C-2A71-4EA8-8CF0-BF526044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1A83"/>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A1A83"/>
    <w:pPr>
      <w:spacing w:before="100" w:beforeAutospacing="1" w:after="100" w:afterAutospacing="1"/>
    </w:pPr>
  </w:style>
  <w:style w:type="character" w:styleId="Hyperlink">
    <w:name w:val="Hyperlink"/>
    <w:basedOn w:val="Standaardalinea-lettertype"/>
    <w:uiPriority w:val="99"/>
    <w:semiHidden/>
    <w:unhideWhenUsed/>
    <w:rsid w:val="004A1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3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cinop.m15.mailplus.nl/nct317749240/n5zX4GUFVx8zfRc" TargetMode="External"/><Relationship Id="rId26" Type="http://schemas.openxmlformats.org/officeDocument/2006/relationships/hyperlink" Target="http://cinop.m15.mailplus.nl/nct317749249/n5zX4GUFVx8zfRc" TargetMode="External"/><Relationship Id="rId39" Type="http://schemas.openxmlformats.org/officeDocument/2006/relationships/hyperlink" Target="http://cinop.m15.mailplus.nl/nct317749266/n5zX4GUFVx8zfRc" TargetMode="External"/><Relationship Id="rId21" Type="http://schemas.openxmlformats.org/officeDocument/2006/relationships/hyperlink" Target="http://cinop.m15.mailplus.nl/nct317749243/n5zX4GUFVx8zfRc" TargetMode="External"/><Relationship Id="rId34" Type="http://schemas.openxmlformats.org/officeDocument/2006/relationships/hyperlink" Target="http://cinop.m15.mailplus.nl/nct317749258/n5zX4GUFVx8zfRc" TargetMode="External"/><Relationship Id="rId42" Type="http://schemas.openxmlformats.org/officeDocument/2006/relationships/hyperlink" Target="http://cinop.m15.mailplus.nl/nct317749269/n5zX4GUFVx8zfRc" TargetMode="External"/><Relationship Id="rId47" Type="http://schemas.openxmlformats.org/officeDocument/2006/relationships/image" Target="media/image4.png"/><Relationship Id="rId50" Type="http://schemas.openxmlformats.org/officeDocument/2006/relationships/hyperlink" Target="http://cinop.m15.mailplus.nl/nct317749278/n5zX4GUFVx8zfRc" TargetMode="External"/><Relationship Id="rId55" Type="http://schemas.openxmlformats.org/officeDocument/2006/relationships/hyperlink" Target="http://cinop.m15.mailplus.nl/nct317749283/n5zX4GUFVx8zfRc" TargetMode="External"/><Relationship Id="rId63" Type="http://schemas.openxmlformats.org/officeDocument/2006/relationships/theme" Target="theme/theme1.xml"/><Relationship Id="rId7" Type="http://schemas.openxmlformats.org/officeDocument/2006/relationships/hyperlink" Target="http://cinop.m15.mailplus.nl/nct317749230/n5zX4GUFVx8zfRc" TargetMode="External"/><Relationship Id="rId2" Type="http://schemas.openxmlformats.org/officeDocument/2006/relationships/settings" Target="settings.xml"/><Relationship Id="rId16" Type="http://schemas.openxmlformats.org/officeDocument/2006/relationships/hyperlink" Target="http://cinop.m15.mailplus.nl/nct317749238/n5zX4GUFVx8zfRc" TargetMode="External"/><Relationship Id="rId20" Type="http://schemas.openxmlformats.org/officeDocument/2006/relationships/hyperlink" Target="http://cinop.m15.mailplus.nl/nct317749242/n5zX4GUFVx8zfRc" TargetMode="External"/><Relationship Id="rId29" Type="http://schemas.openxmlformats.org/officeDocument/2006/relationships/hyperlink" Target="http://cinop.m15.mailplus.nl/nct317749253/n5zX4GUFVx8zfRc" TargetMode="External"/><Relationship Id="rId41" Type="http://schemas.openxmlformats.org/officeDocument/2006/relationships/hyperlink" Target="http://cinop.m15.mailplus.nl/nct317749268/n5zX4GUFVx8zfRc" TargetMode="External"/><Relationship Id="rId54" Type="http://schemas.openxmlformats.org/officeDocument/2006/relationships/hyperlink" Target="http://cinop.m15.mailplus.nl/nct317749282/n5zX4GUFVx8zfR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cinop.m15.mailplus.nl/nct317749234/n5zX4GUFVx8zfRc" TargetMode="External"/><Relationship Id="rId24" Type="http://schemas.openxmlformats.org/officeDocument/2006/relationships/hyperlink" Target="http://cinop.m15.mailplus.nl/nct317749247/n5zX4GUFVx8zfRc" TargetMode="External"/><Relationship Id="rId32" Type="http://schemas.openxmlformats.org/officeDocument/2006/relationships/hyperlink" Target="http://cinop.m15.mailplus.nl/nct317749256/n5zX4GUFVx8zfRc" TargetMode="External"/><Relationship Id="rId37" Type="http://schemas.openxmlformats.org/officeDocument/2006/relationships/hyperlink" Target="http://cinop.m15.mailplus.nl/nct317749264/n5zX4GUFVx8zfRc" TargetMode="External"/><Relationship Id="rId40" Type="http://schemas.openxmlformats.org/officeDocument/2006/relationships/hyperlink" Target="http://cinop.m15.mailplus.nl/nct317749267/n5zX4GUFVx8zfRc" TargetMode="External"/><Relationship Id="rId45" Type="http://schemas.openxmlformats.org/officeDocument/2006/relationships/hyperlink" Target="http://cinop.m15.mailplus.nl/nct317749273/n5zX4GUFVx8zfRc" TargetMode="External"/><Relationship Id="rId53" Type="http://schemas.openxmlformats.org/officeDocument/2006/relationships/hyperlink" Target="http://cinop.m15.mailplus.nl/nct317749281/n5zX4GUFVx8zfRc" TargetMode="External"/><Relationship Id="rId58" Type="http://schemas.openxmlformats.org/officeDocument/2006/relationships/hyperlink" Target="http://cinop.m15.mailplus.nl/nct317749285/n5zX4GUFVx8zfRc" TargetMode="External"/><Relationship Id="rId5" Type="http://schemas.openxmlformats.org/officeDocument/2006/relationships/image" Target="media/image1.jpeg"/><Relationship Id="rId15" Type="http://schemas.openxmlformats.org/officeDocument/2006/relationships/hyperlink" Target="http://cinop.m15.mailplus.nl/nct317749237/n5zX4GUFVx8zfRc" TargetMode="External"/><Relationship Id="rId23" Type="http://schemas.openxmlformats.org/officeDocument/2006/relationships/hyperlink" Target="http://cinop.m15.mailplus.nl/nct317749246/n5zX4GUFVx8zfRc" TargetMode="External"/><Relationship Id="rId28" Type="http://schemas.openxmlformats.org/officeDocument/2006/relationships/hyperlink" Target="http://cinop.m15.mailplus.nl/nct317749252/n5zX4GUFVx8zfRc" TargetMode="External"/><Relationship Id="rId36" Type="http://schemas.openxmlformats.org/officeDocument/2006/relationships/hyperlink" Target="http://cinop.m15.mailplus.nl/nct317749263/n5zX4GUFVx8zfRc" TargetMode="External"/><Relationship Id="rId49" Type="http://schemas.openxmlformats.org/officeDocument/2006/relationships/hyperlink" Target="http://cinop.m15.mailplus.nl/nct317749277/n5zX4GUFVx8zfRc" TargetMode="External"/><Relationship Id="rId57" Type="http://schemas.openxmlformats.org/officeDocument/2006/relationships/hyperlink" Target="http://cinop.m15.mailplus.nl/nct317749284/n5zX4GUFVx8zfRc" TargetMode="External"/><Relationship Id="rId61" Type="http://schemas.openxmlformats.org/officeDocument/2006/relationships/image" Target="media/image6.gif"/><Relationship Id="rId10" Type="http://schemas.openxmlformats.org/officeDocument/2006/relationships/hyperlink" Target="http://cinop.m15.mailplus.nl/nct317749233/n5zX4GUFVx8zfRc" TargetMode="External"/><Relationship Id="rId19" Type="http://schemas.openxmlformats.org/officeDocument/2006/relationships/hyperlink" Target="http://cinop.m15.mailplus.nl/nct317749241/n5zX4GUFVx8zfRc" TargetMode="External"/><Relationship Id="rId31" Type="http://schemas.openxmlformats.org/officeDocument/2006/relationships/hyperlink" Target="http://cinop.m15.mailplus.nl/nct317749255/n5zX4GUFVx8zfRc" TargetMode="External"/><Relationship Id="rId44" Type="http://schemas.openxmlformats.org/officeDocument/2006/relationships/hyperlink" Target="http://cinop.m15.mailplus.nl/nct317749272/n5zX4GUFVx8zfRc" TargetMode="External"/><Relationship Id="rId52" Type="http://schemas.openxmlformats.org/officeDocument/2006/relationships/hyperlink" Target="http://cinop.m15.mailplus.nl/nct317749280/n5zX4GUFVx8zfRc" TargetMode="External"/><Relationship Id="rId60" Type="http://schemas.openxmlformats.org/officeDocument/2006/relationships/hyperlink" Target="http://cinop.m15.mailplus.nl/nct317749287/n5zX4GUFVx8zfRc" TargetMode="External"/><Relationship Id="rId4" Type="http://schemas.openxmlformats.org/officeDocument/2006/relationships/hyperlink" Target="http://www.ecbo.nl/" TargetMode="External"/><Relationship Id="rId9" Type="http://schemas.openxmlformats.org/officeDocument/2006/relationships/hyperlink" Target="http://cinop.m15.mailplus.nl/nct317749232/n5zX4GUFVx8zfRc" TargetMode="External"/><Relationship Id="rId14" Type="http://schemas.openxmlformats.org/officeDocument/2006/relationships/hyperlink" Target="http://cinop.m15.mailplus.nl/nct317749236/n5zX4GUFVx8zfRc" TargetMode="External"/><Relationship Id="rId22" Type="http://schemas.openxmlformats.org/officeDocument/2006/relationships/hyperlink" Target="http://cinop.m15.mailplus.nl/nct317749244/n5zX4GUFVx8zfRc" TargetMode="External"/><Relationship Id="rId27" Type="http://schemas.openxmlformats.org/officeDocument/2006/relationships/hyperlink" Target="http://cinop.m15.mailplus.nl/nct317749250/n5zX4GUFVx8zfRc" TargetMode="External"/><Relationship Id="rId30" Type="http://schemas.openxmlformats.org/officeDocument/2006/relationships/hyperlink" Target="http://cinop.m15.mailplus.nl/nct317749254/n5zX4GUFVx8zfRc" TargetMode="External"/><Relationship Id="rId35" Type="http://schemas.openxmlformats.org/officeDocument/2006/relationships/hyperlink" Target="http://cinop.m15.mailplus.nl/nct317749259/n5zX4GUFVx8zfRc" TargetMode="External"/><Relationship Id="rId43" Type="http://schemas.openxmlformats.org/officeDocument/2006/relationships/hyperlink" Target="http://cinop.m15.mailplus.nl/nct317749271/n5zX4GUFVx8zfRc" TargetMode="External"/><Relationship Id="rId48" Type="http://schemas.openxmlformats.org/officeDocument/2006/relationships/hyperlink" Target="http://cinop.m15.mailplus.nl/nct317749276/n5zX4GUFVx8zfRc" TargetMode="External"/><Relationship Id="rId56" Type="http://schemas.openxmlformats.org/officeDocument/2006/relationships/image" Target="media/image5.png"/><Relationship Id="rId8" Type="http://schemas.openxmlformats.org/officeDocument/2006/relationships/hyperlink" Target="http://cinop.m15.mailplus.nl/nct317749231/n5zX4GUFVx8zfRc" TargetMode="External"/><Relationship Id="rId51" Type="http://schemas.openxmlformats.org/officeDocument/2006/relationships/hyperlink" Target="http://cinop.m15.mailplus.nl/nct317749279/n5zX4GUFVx8zfRc" TargetMode="External"/><Relationship Id="rId3" Type="http://schemas.openxmlformats.org/officeDocument/2006/relationships/webSettings" Target="webSettings.xml"/><Relationship Id="rId12" Type="http://schemas.openxmlformats.org/officeDocument/2006/relationships/hyperlink" Target="http://cinop.m15.mailplus.nl/nct317749235/n5zX4GUFVx8zfRc" TargetMode="External"/><Relationship Id="rId17" Type="http://schemas.openxmlformats.org/officeDocument/2006/relationships/hyperlink" Target="http://cinop.m15.mailplus.nl/nct317749239/n5zX4GUFVx8zfRc" TargetMode="External"/><Relationship Id="rId25" Type="http://schemas.openxmlformats.org/officeDocument/2006/relationships/hyperlink" Target="http://cinop.m15.mailplus.nl/nct317749248/n5zX4GUFVx8zfRc" TargetMode="External"/><Relationship Id="rId33" Type="http://schemas.openxmlformats.org/officeDocument/2006/relationships/hyperlink" Target="http://cinop.m15.mailplus.nl/nct317749257/n5zX4GUFVx8zfRc" TargetMode="External"/><Relationship Id="rId38" Type="http://schemas.openxmlformats.org/officeDocument/2006/relationships/hyperlink" Target="http://cinop.m15.mailplus.nl/nct317749265/n5zX4GUFVx8zfRc" TargetMode="External"/><Relationship Id="rId46" Type="http://schemas.openxmlformats.org/officeDocument/2006/relationships/hyperlink" Target="http://cinop.m15.mailplus.nl/nct317749275/n5zX4GUFVx8zfRc" TargetMode="External"/><Relationship Id="rId59" Type="http://schemas.openxmlformats.org/officeDocument/2006/relationships/hyperlink" Target="http://cinop.m15.mailplus.nl/nct317749286/n5zX4GUFVx8zfR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3271</Words>
  <Characters>17995</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2016-11-05T15:57:00Z</dcterms:created>
  <dcterms:modified xsi:type="dcterms:W3CDTF">2016-11-05T15:58:00Z</dcterms:modified>
</cp:coreProperties>
</file>