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FE8" w:rsidRDefault="00593FE8" w:rsidP="00593FE8"/>
    <w:tbl>
      <w:tblPr>
        <w:tblW w:w="10500" w:type="dxa"/>
        <w:jc w:val="center"/>
        <w:tblCellMar>
          <w:left w:w="0" w:type="dxa"/>
          <w:right w:w="0" w:type="dxa"/>
        </w:tblCellMar>
        <w:tblLook w:val="04A0" w:firstRow="1" w:lastRow="0" w:firstColumn="1" w:lastColumn="0" w:noHBand="0" w:noVBand="1"/>
      </w:tblPr>
      <w:tblGrid>
        <w:gridCol w:w="10500"/>
      </w:tblGrid>
      <w:tr w:rsidR="00593FE8" w:rsidTr="00593FE8">
        <w:trPr>
          <w:jc w:val="center"/>
        </w:trPr>
        <w:tc>
          <w:tcPr>
            <w:tcW w:w="0" w:type="auto"/>
            <w:vAlign w:val="center"/>
          </w:tcPr>
          <w:tbl>
            <w:tblPr>
              <w:tblW w:w="5000" w:type="pct"/>
              <w:tblCellMar>
                <w:left w:w="0" w:type="dxa"/>
                <w:right w:w="0" w:type="dxa"/>
              </w:tblCellMar>
              <w:tblLook w:val="04A0" w:firstRow="1" w:lastRow="0" w:firstColumn="1" w:lastColumn="0" w:noHBand="0" w:noVBand="1"/>
            </w:tblPr>
            <w:tblGrid>
              <w:gridCol w:w="5250"/>
              <w:gridCol w:w="5250"/>
            </w:tblGrid>
            <w:tr w:rsidR="00593FE8">
              <w:trPr>
                <w:trHeight w:val="96"/>
              </w:trPr>
              <w:tc>
                <w:tcPr>
                  <w:tcW w:w="0" w:type="auto"/>
                  <w:gridSpan w:val="2"/>
                  <w:vAlign w:val="center"/>
                  <w:hideMark/>
                </w:tcPr>
                <w:p w:rsidR="00593FE8" w:rsidRDefault="00593FE8"/>
              </w:tc>
            </w:tr>
            <w:tr w:rsidR="00593FE8">
              <w:tc>
                <w:tcPr>
                  <w:tcW w:w="5250" w:type="dxa"/>
                  <w:vAlign w:val="center"/>
                  <w:hideMark/>
                </w:tcPr>
                <w:p w:rsidR="00593FE8" w:rsidRDefault="00593FE8">
                  <w:pPr>
                    <w:spacing w:line="300" w:lineRule="atLeast"/>
                    <w:rPr>
                      <w:rFonts w:ascii="Arial" w:eastAsia="Times New Roman" w:hAnsi="Arial" w:cs="Arial"/>
                      <w:color w:val="9F9F9F"/>
                      <w:sz w:val="17"/>
                      <w:szCs w:val="17"/>
                    </w:rPr>
                  </w:pPr>
                </w:p>
              </w:tc>
              <w:tc>
                <w:tcPr>
                  <w:tcW w:w="5250" w:type="dxa"/>
                  <w:vAlign w:val="center"/>
                  <w:hideMark/>
                </w:tcPr>
                <w:p w:rsidR="00593FE8" w:rsidRDefault="00593FE8" w:rsidP="00593FE8">
                  <w:pPr>
                    <w:spacing w:line="300" w:lineRule="atLeast"/>
                    <w:jc w:val="right"/>
                    <w:rPr>
                      <w:rFonts w:ascii="Arial" w:eastAsia="Times New Roman" w:hAnsi="Arial" w:cs="Arial"/>
                      <w:color w:val="9F9F9F"/>
                      <w:sz w:val="17"/>
                      <w:szCs w:val="17"/>
                    </w:rPr>
                  </w:pPr>
                  <w:r>
                    <w:rPr>
                      <w:rFonts w:ascii="Arial" w:eastAsia="Times New Roman" w:hAnsi="Arial" w:cs="Arial"/>
                      <w:color w:val="9F9F9F"/>
                      <w:sz w:val="17"/>
                      <w:szCs w:val="17"/>
                    </w:rPr>
                    <w:t> </w:t>
                  </w:r>
                  <w:bookmarkStart w:id="0" w:name="_GoBack"/>
                  <w:bookmarkEnd w:id="0"/>
                </w:p>
              </w:tc>
            </w:tr>
            <w:tr w:rsidR="00593FE8">
              <w:trPr>
                <w:trHeight w:val="96"/>
              </w:trPr>
              <w:tc>
                <w:tcPr>
                  <w:tcW w:w="0" w:type="auto"/>
                  <w:gridSpan w:val="2"/>
                  <w:vAlign w:val="center"/>
                  <w:hideMark/>
                </w:tcPr>
                <w:p w:rsidR="00593FE8" w:rsidRDefault="00593FE8">
                  <w:pPr>
                    <w:rPr>
                      <w:rFonts w:ascii="Arial" w:eastAsia="Times New Roman" w:hAnsi="Arial" w:cs="Arial"/>
                      <w:color w:val="9F9F9F"/>
                      <w:sz w:val="17"/>
                      <w:szCs w:val="17"/>
                    </w:rPr>
                  </w:pPr>
                </w:p>
              </w:tc>
            </w:tr>
          </w:tbl>
          <w:p w:rsidR="00593FE8" w:rsidRDefault="00593FE8">
            <w:pPr>
              <w:spacing w:line="300" w:lineRule="atLeast"/>
              <w:rPr>
                <w:rFonts w:ascii="Arial" w:eastAsia="Times New Roman" w:hAnsi="Arial" w:cs="Arial"/>
                <w:color w:val="013870"/>
                <w:sz w:val="21"/>
                <w:szCs w:val="21"/>
              </w:rPr>
            </w:pPr>
          </w:p>
          <w:tbl>
            <w:tblPr>
              <w:tblW w:w="5000" w:type="pct"/>
              <w:tblCellMar>
                <w:left w:w="0" w:type="dxa"/>
                <w:right w:w="0" w:type="dxa"/>
              </w:tblCellMar>
              <w:tblLook w:val="04A0" w:firstRow="1" w:lastRow="0" w:firstColumn="1" w:lastColumn="0" w:noHBand="0" w:noVBand="1"/>
            </w:tblPr>
            <w:tblGrid>
              <w:gridCol w:w="10500"/>
            </w:tblGrid>
            <w:tr w:rsidR="00593FE8">
              <w:tc>
                <w:tcPr>
                  <w:tcW w:w="0" w:type="auto"/>
                  <w:vAlign w:val="center"/>
                  <w:hideMark/>
                </w:tcPr>
                <w:tbl>
                  <w:tblPr>
                    <w:tblW w:w="5000" w:type="pct"/>
                    <w:tblCellMar>
                      <w:left w:w="0" w:type="dxa"/>
                      <w:right w:w="0" w:type="dxa"/>
                    </w:tblCellMar>
                    <w:tblLook w:val="04A0" w:firstRow="1" w:lastRow="0" w:firstColumn="1" w:lastColumn="0" w:noHBand="0" w:noVBand="1"/>
                  </w:tblPr>
                  <w:tblGrid>
                    <w:gridCol w:w="10500"/>
                  </w:tblGrid>
                  <w:tr w:rsidR="00593FE8">
                    <w:tc>
                      <w:tcPr>
                        <w:tcW w:w="5000" w:type="pct"/>
                        <w:hideMark/>
                      </w:tcPr>
                      <w:p w:rsidR="00593FE8" w:rsidRDefault="00593FE8">
                        <w:pPr>
                          <w:spacing w:line="0" w:lineRule="auto"/>
                          <w:rPr>
                            <w:rFonts w:ascii="Arial" w:eastAsia="Times New Roman" w:hAnsi="Arial" w:cs="Arial"/>
                            <w:color w:val="013870"/>
                            <w:sz w:val="2"/>
                            <w:szCs w:val="2"/>
                          </w:rPr>
                        </w:pPr>
                        <w:r>
                          <w:rPr>
                            <w:rFonts w:ascii="Arial" w:eastAsia="Times New Roman" w:hAnsi="Arial" w:cs="Arial"/>
                            <w:noProof/>
                            <w:color w:val="013870"/>
                            <w:sz w:val="2"/>
                            <w:szCs w:val="2"/>
                          </w:rPr>
                          <w:drawing>
                            <wp:inline distT="0" distB="0" distL="0" distR="0">
                              <wp:extent cx="6667500" cy="1638300"/>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1638300"/>
                                      </a:xfrm>
                                      <a:prstGeom prst="rect">
                                        <a:avLst/>
                                      </a:prstGeom>
                                      <a:noFill/>
                                      <a:ln>
                                        <a:noFill/>
                                      </a:ln>
                                    </pic:spPr>
                                  </pic:pic>
                                </a:graphicData>
                              </a:graphic>
                            </wp:inline>
                          </w:drawing>
                        </w:r>
                      </w:p>
                    </w:tc>
                  </w:tr>
                </w:tbl>
                <w:p w:rsidR="00593FE8" w:rsidRDefault="00593FE8">
                  <w:pPr>
                    <w:rPr>
                      <w:rFonts w:eastAsia="Times New Roman"/>
                      <w:sz w:val="20"/>
                      <w:szCs w:val="20"/>
                    </w:rPr>
                  </w:pPr>
                </w:p>
              </w:tc>
            </w:tr>
            <w:tr w:rsidR="00593FE8">
              <w:tc>
                <w:tcPr>
                  <w:tcW w:w="0" w:type="auto"/>
                  <w:shd w:val="clear" w:color="auto" w:fill="015A9C"/>
                  <w:vAlign w:val="center"/>
                  <w:hideMark/>
                </w:tcPr>
                <w:tbl>
                  <w:tblPr>
                    <w:tblW w:w="5000" w:type="pct"/>
                    <w:tblCellMar>
                      <w:left w:w="0" w:type="dxa"/>
                      <w:right w:w="0" w:type="dxa"/>
                    </w:tblCellMar>
                    <w:tblLook w:val="04A0" w:firstRow="1" w:lastRow="0" w:firstColumn="1" w:lastColumn="0" w:noHBand="0" w:noVBand="1"/>
                  </w:tblPr>
                  <w:tblGrid>
                    <w:gridCol w:w="8155"/>
                    <w:gridCol w:w="335"/>
                    <w:gridCol w:w="1005"/>
                    <w:gridCol w:w="1005"/>
                  </w:tblGrid>
                  <w:tr w:rsidR="00593FE8">
                    <w:trPr>
                      <w:trHeight w:val="300"/>
                    </w:trPr>
                    <w:tc>
                      <w:tcPr>
                        <w:tcW w:w="7305" w:type="dxa"/>
                        <w:tcMar>
                          <w:top w:w="0" w:type="dxa"/>
                          <w:left w:w="300" w:type="dxa"/>
                          <w:bottom w:w="0" w:type="dxa"/>
                          <w:right w:w="0" w:type="dxa"/>
                        </w:tcMar>
                        <w:hideMark/>
                      </w:tcPr>
                      <w:p w:rsidR="00593FE8" w:rsidRDefault="00593FE8">
                        <w:pPr>
                          <w:spacing w:line="300" w:lineRule="atLeast"/>
                          <w:rPr>
                            <w:rFonts w:ascii="Arial" w:eastAsia="Times New Roman" w:hAnsi="Arial" w:cs="Arial"/>
                            <w:color w:val="FFFFFF"/>
                            <w:sz w:val="17"/>
                            <w:szCs w:val="17"/>
                          </w:rPr>
                        </w:pPr>
                        <w:r>
                          <w:rPr>
                            <w:rFonts w:ascii="Arial" w:eastAsia="Times New Roman" w:hAnsi="Arial" w:cs="Arial"/>
                            <w:b/>
                            <w:bCs/>
                            <w:color w:val="FFFFFF"/>
                            <w:sz w:val="17"/>
                            <w:szCs w:val="17"/>
                          </w:rPr>
                          <w:t>Resultaten uit NRO-onderzoek</w:t>
                        </w:r>
                        <w:r>
                          <w:rPr>
                            <w:rFonts w:ascii="Arial" w:eastAsia="Times New Roman" w:hAnsi="Arial" w:cs="Arial"/>
                            <w:color w:val="FFFFFF"/>
                            <w:sz w:val="17"/>
                            <w:szCs w:val="17"/>
                          </w:rPr>
                          <w:t>   29 augustus 2017</w:t>
                        </w:r>
                      </w:p>
                    </w:tc>
                    <w:tc>
                      <w:tcPr>
                        <w:tcW w:w="300" w:type="dxa"/>
                        <w:hideMark/>
                      </w:tcPr>
                      <w:p w:rsidR="00593FE8" w:rsidRDefault="00593FE8">
                        <w:pPr>
                          <w:rPr>
                            <w:rFonts w:ascii="Arial" w:eastAsia="Times New Roman" w:hAnsi="Arial" w:cs="Arial"/>
                            <w:color w:val="FFFFFF"/>
                            <w:sz w:val="17"/>
                            <w:szCs w:val="17"/>
                          </w:rPr>
                        </w:pPr>
                      </w:p>
                    </w:tc>
                    <w:tc>
                      <w:tcPr>
                        <w:tcW w:w="900" w:type="dxa"/>
                        <w:tcBorders>
                          <w:top w:val="nil"/>
                          <w:left w:val="single" w:sz="6" w:space="0" w:color="015A9C"/>
                          <w:bottom w:val="nil"/>
                          <w:right w:val="nil"/>
                        </w:tcBorders>
                        <w:shd w:val="clear" w:color="auto" w:fill="1795D0"/>
                        <w:tcMar>
                          <w:top w:w="0" w:type="dxa"/>
                          <w:left w:w="150" w:type="dxa"/>
                          <w:bottom w:w="0" w:type="dxa"/>
                          <w:right w:w="150" w:type="dxa"/>
                        </w:tcMar>
                        <w:hideMark/>
                      </w:tcPr>
                      <w:p w:rsidR="00593FE8" w:rsidRDefault="00593FE8">
                        <w:pPr>
                          <w:spacing w:line="300" w:lineRule="atLeast"/>
                          <w:jc w:val="center"/>
                          <w:rPr>
                            <w:rFonts w:ascii="Arial" w:eastAsia="Times New Roman" w:hAnsi="Arial" w:cs="Arial"/>
                            <w:color w:val="FFFFFF"/>
                            <w:sz w:val="17"/>
                            <w:szCs w:val="17"/>
                          </w:rPr>
                        </w:pPr>
                        <w:hyperlink r:id="rId6" w:history="1">
                          <w:r>
                            <w:rPr>
                              <w:rStyle w:val="Hyperlink"/>
                              <w:rFonts w:eastAsia="Times New Roman"/>
                              <w:color w:val="FFFFFF"/>
                              <w:sz w:val="17"/>
                              <w:szCs w:val="17"/>
                            </w:rPr>
                            <w:t>Website</w:t>
                          </w:r>
                        </w:hyperlink>
                      </w:p>
                    </w:tc>
                    <w:tc>
                      <w:tcPr>
                        <w:tcW w:w="900" w:type="dxa"/>
                        <w:tcBorders>
                          <w:top w:val="nil"/>
                          <w:left w:val="single" w:sz="6" w:space="0" w:color="015A9C"/>
                          <w:bottom w:val="nil"/>
                          <w:right w:val="nil"/>
                        </w:tcBorders>
                        <w:shd w:val="clear" w:color="auto" w:fill="1795D0"/>
                        <w:tcMar>
                          <w:top w:w="0" w:type="dxa"/>
                          <w:left w:w="150" w:type="dxa"/>
                          <w:bottom w:w="0" w:type="dxa"/>
                          <w:right w:w="150" w:type="dxa"/>
                        </w:tcMar>
                        <w:hideMark/>
                      </w:tcPr>
                      <w:p w:rsidR="00593FE8" w:rsidRDefault="00593FE8">
                        <w:pPr>
                          <w:spacing w:line="300" w:lineRule="atLeast"/>
                          <w:jc w:val="center"/>
                          <w:rPr>
                            <w:rFonts w:ascii="Arial" w:eastAsia="Times New Roman" w:hAnsi="Arial" w:cs="Arial"/>
                            <w:color w:val="FFFFFF"/>
                            <w:sz w:val="17"/>
                            <w:szCs w:val="17"/>
                          </w:rPr>
                        </w:pPr>
                        <w:hyperlink r:id="rId7" w:history="1">
                          <w:r>
                            <w:rPr>
                              <w:rStyle w:val="Hyperlink"/>
                              <w:rFonts w:eastAsia="Times New Roman"/>
                              <w:color w:val="FFFFFF"/>
                              <w:sz w:val="17"/>
                              <w:szCs w:val="17"/>
                            </w:rPr>
                            <w:t>Contact</w:t>
                          </w:r>
                        </w:hyperlink>
                      </w:p>
                    </w:tc>
                  </w:tr>
                </w:tbl>
                <w:p w:rsidR="00593FE8" w:rsidRDefault="00593FE8">
                  <w:pPr>
                    <w:rPr>
                      <w:rFonts w:eastAsia="Times New Roman"/>
                      <w:sz w:val="20"/>
                      <w:szCs w:val="20"/>
                    </w:rPr>
                  </w:pPr>
                </w:p>
              </w:tc>
            </w:tr>
            <w:tr w:rsidR="00593FE8">
              <w:tc>
                <w:tcPr>
                  <w:tcW w:w="0" w:type="auto"/>
                  <w:vAlign w:val="center"/>
                  <w:hideMark/>
                </w:tcPr>
                <w:tbl>
                  <w:tblPr>
                    <w:tblW w:w="5000" w:type="pct"/>
                    <w:tblCellMar>
                      <w:left w:w="0" w:type="dxa"/>
                      <w:right w:w="0" w:type="dxa"/>
                    </w:tblCellMar>
                    <w:tblLook w:val="04A0" w:firstRow="1" w:lastRow="0" w:firstColumn="1" w:lastColumn="0" w:noHBand="0" w:noVBand="1"/>
                  </w:tblPr>
                  <w:tblGrid>
                    <w:gridCol w:w="10500"/>
                  </w:tblGrid>
                  <w:tr w:rsidR="00593FE8">
                    <w:tc>
                      <w:tcPr>
                        <w:tcW w:w="3500" w:type="pct"/>
                        <w:tcMar>
                          <w:top w:w="0" w:type="dxa"/>
                          <w:left w:w="0" w:type="dxa"/>
                          <w:bottom w:w="225" w:type="dxa"/>
                          <w:right w:w="0" w:type="dxa"/>
                        </w:tcMar>
                      </w:tcPr>
                      <w:tbl>
                        <w:tblPr>
                          <w:tblW w:w="5000" w:type="pct"/>
                          <w:tblCellMar>
                            <w:left w:w="0" w:type="dxa"/>
                            <w:right w:w="0" w:type="dxa"/>
                          </w:tblCellMar>
                          <w:tblLook w:val="04A0" w:firstRow="1" w:lastRow="0" w:firstColumn="1" w:lastColumn="0" w:noHBand="0" w:noVBand="1"/>
                        </w:tblPr>
                        <w:tblGrid>
                          <w:gridCol w:w="10500"/>
                        </w:tblGrid>
                        <w:tr w:rsidR="00593FE8">
                          <w:tc>
                            <w:tcPr>
                              <w:tcW w:w="0" w:type="auto"/>
                              <w:tcBorders>
                                <w:top w:val="nil"/>
                                <w:left w:val="nil"/>
                                <w:bottom w:val="single" w:sz="6" w:space="0" w:color="E7E8F3"/>
                                <w:right w:val="nil"/>
                              </w:tcBorders>
                              <w:tcMar>
                                <w:top w:w="225" w:type="dxa"/>
                                <w:left w:w="0" w:type="dxa"/>
                                <w:bottom w:w="75" w:type="dxa"/>
                                <w:right w:w="0" w:type="dxa"/>
                              </w:tcMar>
                              <w:vAlign w:val="center"/>
                              <w:hideMark/>
                            </w:tcPr>
                            <w:p w:rsidR="00593FE8" w:rsidRDefault="00593FE8">
                              <w:pPr>
                                <w:pStyle w:val="Kop1"/>
                                <w:rPr>
                                  <w:rFonts w:eastAsia="Times New Roman"/>
                                </w:rPr>
                              </w:pPr>
                              <w:bookmarkStart w:id="1" w:name="toc_item_0"/>
                              <w:bookmarkEnd w:id="1"/>
                              <w:r>
                                <w:rPr>
                                  <w:rFonts w:eastAsia="Times New Roman"/>
                                </w:rPr>
                                <w:t>Overzichten van onderzoek: nieuwe reviewstudies</w:t>
                              </w:r>
                            </w:p>
                            <w:p w:rsidR="00593FE8" w:rsidRDefault="00593FE8">
                              <w:pPr>
                                <w:pStyle w:val="Normaalweb"/>
                              </w:pPr>
                              <w:r>
                                <w:t>Reviewstudies bieden een handig overzicht van de laatste stand van zaken in onderwijsonderzoek. De afgelopen maanden zijn er flink wat nieuwe studies met NRO-subsidie afgerond. Enkele recente uitkomsten lichten we hier voor u uit; onderaan vindt u een uitgebreidere lijst van reviewstudies.</w:t>
                              </w:r>
                            </w:p>
                          </w:tc>
                        </w:tr>
                      </w:tbl>
                      <w:p w:rsidR="00593FE8" w:rsidRDefault="00593FE8">
                        <w:pPr>
                          <w:spacing w:line="300" w:lineRule="atLeast"/>
                          <w:rPr>
                            <w:rFonts w:ascii="Arial" w:eastAsia="Times New Roman" w:hAnsi="Arial" w:cs="Arial"/>
                            <w:vanish/>
                            <w:color w:val="013870"/>
                            <w:sz w:val="21"/>
                            <w:szCs w:val="21"/>
                          </w:rPr>
                        </w:pPr>
                        <w:bookmarkStart w:id="2" w:name="toc_item_1"/>
                        <w:bookmarkEnd w:id="2"/>
                      </w:p>
                      <w:tbl>
                        <w:tblPr>
                          <w:tblW w:w="5000" w:type="pct"/>
                          <w:tblCellMar>
                            <w:left w:w="0" w:type="dxa"/>
                            <w:right w:w="0" w:type="dxa"/>
                          </w:tblCellMar>
                          <w:tblLook w:val="04A0" w:firstRow="1" w:lastRow="0" w:firstColumn="1" w:lastColumn="0" w:noHBand="0" w:noVBand="1"/>
                        </w:tblPr>
                        <w:tblGrid>
                          <w:gridCol w:w="10500"/>
                        </w:tblGrid>
                        <w:tr w:rsidR="00593FE8">
                          <w:tc>
                            <w:tcPr>
                              <w:tcW w:w="0" w:type="auto"/>
                              <w:tcBorders>
                                <w:top w:val="nil"/>
                                <w:left w:val="nil"/>
                                <w:bottom w:val="single" w:sz="6" w:space="0" w:color="E7E8F3"/>
                                <w:right w:val="nil"/>
                              </w:tcBorders>
                              <w:tcMar>
                                <w:top w:w="225" w:type="dxa"/>
                                <w:left w:w="0" w:type="dxa"/>
                                <w:bottom w:w="75" w:type="dxa"/>
                                <w:right w:w="0" w:type="dxa"/>
                              </w:tcMar>
                              <w:vAlign w:val="center"/>
                              <w:hideMark/>
                            </w:tcPr>
                            <w:p w:rsidR="00593FE8" w:rsidRDefault="00593FE8">
                              <w:pPr>
                                <w:pStyle w:val="Kop1"/>
                                <w:rPr>
                                  <w:rFonts w:eastAsia="Times New Roman"/>
                                </w:rPr>
                              </w:pPr>
                              <w:r>
                                <w:rPr>
                                  <w:rFonts w:eastAsia="Times New Roman"/>
                                </w:rPr>
                                <w:t xml:space="preserve">Leraren gaan beter lesgeven dankzij </w:t>
                              </w:r>
                              <w:proofErr w:type="spellStart"/>
                              <w:r>
                                <w:rPr>
                                  <w:rFonts w:eastAsia="Times New Roman"/>
                                </w:rPr>
                                <w:t>Lesson</w:t>
                              </w:r>
                              <w:proofErr w:type="spellEnd"/>
                              <w:r>
                                <w:rPr>
                                  <w:rFonts w:eastAsia="Times New Roman"/>
                                </w:rPr>
                                <w:t xml:space="preserve"> </w:t>
                              </w:r>
                              <w:proofErr w:type="spellStart"/>
                              <w:r>
                                <w:rPr>
                                  <w:rFonts w:eastAsia="Times New Roman"/>
                                </w:rPr>
                                <w:t>Study</w:t>
                              </w:r>
                              <w:proofErr w:type="spellEnd"/>
                            </w:p>
                            <w:p w:rsidR="00593FE8" w:rsidRDefault="00593FE8">
                              <w:pPr>
                                <w:pStyle w:val="Normaalweb"/>
                              </w:pPr>
                              <w:r>
                                <w:rPr>
                                  <w:rStyle w:val="Zwaar"/>
                                </w:rPr>
                                <w:t xml:space="preserve">Met </w:t>
                              </w:r>
                              <w:proofErr w:type="spellStart"/>
                              <w:r>
                                <w:rPr>
                                  <w:rStyle w:val="Zwaar"/>
                                </w:rPr>
                                <w:t>Lesson</w:t>
                              </w:r>
                              <w:proofErr w:type="spellEnd"/>
                              <w:r>
                                <w:rPr>
                                  <w:rStyle w:val="Zwaar"/>
                                </w:rPr>
                                <w:t xml:space="preserve"> </w:t>
                              </w:r>
                              <w:proofErr w:type="spellStart"/>
                              <w:r>
                                <w:rPr>
                                  <w:rStyle w:val="Zwaar"/>
                                </w:rPr>
                                <w:t>Study</w:t>
                              </w:r>
                              <w:proofErr w:type="spellEnd"/>
                              <w:r>
                                <w:rPr>
                                  <w:rStyle w:val="Zwaar"/>
                                </w:rPr>
                                <w:t xml:space="preserve"> doen leraren (vak)didactische en pedagogische kennis en inzichten op. Daarnaast vinden zij het prettig om ervaringen met collega’s te kunnen delen en hebben ze meer plezier in het werk. Ook begrijpen leraren beter hoe leerlingen denken, en profiteren leerlingen mede van deze nieuwe professionaliseringsaanpak.</w:t>
                              </w:r>
                            </w:p>
                            <w:p w:rsidR="00593FE8" w:rsidRDefault="00593FE8">
                              <w:pPr>
                                <w:pStyle w:val="Normaalweb"/>
                              </w:pPr>
                              <w:r>
                                <w:t xml:space="preserve">Uit de overzichtsstudie blijkt dat </w:t>
                              </w:r>
                              <w:proofErr w:type="spellStart"/>
                              <w:r>
                                <w:t>Lesson</w:t>
                              </w:r>
                              <w:proofErr w:type="spellEnd"/>
                              <w:r>
                                <w:t xml:space="preserve"> </w:t>
                              </w:r>
                              <w:proofErr w:type="spellStart"/>
                              <w:r>
                                <w:t>Study</w:t>
                              </w:r>
                              <w:proofErr w:type="spellEnd"/>
                              <w:r>
                                <w:t xml:space="preserve"> een goede manier is om theorie en praktijk bij elkaar te brengen. Verder lijken alle vier de kenmerken van </w:t>
                              </w:r>
                              <w:proofErr w:type="spellStart"/>
                              <w:r>
                                <w:t>Lesson</w:t>
                              </w:r>
                              <w:proofErr w:type="spellEnd"/>
                              <w:r>
                                <w:t xml:space="preserve"> </w:t>
                              </w:r>
                              <w:proofErr w:type="spellStart"/>
                              <w:r>
                                <w:t>Study</w:t>
                              </w:r>
                              <w:proofErr w:type="spellEnd"/>
                              <w:r>
                                <w:t xml:space="preserve"> – onderzoek, lesplanontwikkeling, </w:t>
                              </w:r>
                              <w:proofErr w:type="spellStart"/>
                              <w:r>
                                <w:t>onderzoeksles</w:t>
                              </w:r>
                              <w:proofErr w:type="spellEnd"/>
                              <w:r>
                                <w:t xml:space="preserve"> geven en observeren, en reflectie – tot leren aan te zetten.</w:t>
                              </w:r>
                            </w:p>
                            <w:p w:rsidR="00593FE8" w:rsidRDefault="00593FE8">
                              <w:pPr>
                                <w:numPr>
                                  <w:ilvl w:val="0"/>
                                  <w:numId w:val="1"/>
                                </w:numPr>
                                <w:spacing w:before="100" w:beforeAutospacing="1" w:after="100" w:afterAutospacing="1" w:line="300" w:lineRule="atLeast"/>
                                <w:rPr>
                                  <w:rFonts w:ascii="Arial" w:eastAsia="Times New Roman" w:hAnsi="Arial" w:cs="Arial"/>
                                  <w:color w:val="013870"/>
                                  <w:sz w:val="21"/>
                                  <w:szCs w:val="21"/>
                                </w:rPr>
                              </w:pPr>
                              <w:r>
                                <w:rPr>
                                  <w:rFonts w:ascii="Arial" w:eastAsia="Times New Roman" w:hAnsi="Arial" w:cs="Arial"/>
                                  <w:color w:val="013870"/>
                                  <w:sz w:val="21"/>
                                  <w:szCs w:val="21"/>
                                </w:rPr>
                                <w:t xml:space="preserve">Op 1 november spreekt onderzoeker </w:t>
                              </w:r>
                              <w:proofErr w:type="spellStart"/>
                              <w:r>
                                <w:rPr>
                                  <w:rFonts w:ascii="Arial" w:eastAsia="Times New Roman" w:hAnsi="Arial" w:cs="Arial"/>
                                  <w:color w:val="013870"/>
                                  <w:sz w:val="21"/>
                                  <w:szCs w:val="21"/>
                                </w:rPr>
                                <w:t>Siebrich</w:t>
                              </w:r>
                              <w:proofErr w:type="spellEnd"/>
                              <w:r>
                                <w:rPr>
                                  <w:rFonts w:ascii="Arial" w:eastAsia="Times New Roman" w:hAnsi="Arial" w:cs="Arial"/>
                                  <w:color w:val="013870"/>
                                  <w:sz w:val="21"/>
                                  <w:szCs w:val="21"/>
                                </w:rPr>
                                <w:t xml:space="preserve"> de Vries (Rijksuniversiteit Groningen) over </w:t>
                              </w:r>
                              <w:proofErr w:type="spellStart"/>
                              <w:r>
                                <w:rPr>
                                  <w:rFonts w:ascii="Arial" w:eastAsia="Times New Roman" w:hAnsi="Arial" w:cs="Arial"/>
                                  <w:color w:val="013870"/>
                                  <w:sz w:val="21"/>
                                  <w:szCs w:val="21"/>
                                </w:rPr>
                                <w:t>Lesson</w:t>
                              </w:r>
                              <w:proofErr w:type="spellEnd"/>
                              <w:r>
                                <w:rPr>
                                  <w:rFonts w:ascii="Arial" w:eastAsia="Times New Roman" w:hAnsi="Arial" w:cs="Arial"/>
                                  <w:color w:val="013870"/>
                                  <w:sz w:val="21"/>
                                  <w:szCs w:val="21"/>
                                </w:rPr>
                                <w:t xml:space="preserve"> </w:t>
                              </w:r>
                              <w:proofErr w:type="spellStart"/>
                              <w:r>
                                <w:rPr>
                                  <w:rFonts w:ascii="Arial" w:eastAsia="Times New Roman" w:hAnsi="Arial" w:cs="Arial"/>
                                  <w:color w:val="013870"/>
                                  <w:sz w:val="21"/>
                                  <w:szCs w:val="21"/>
                                </w:rPr>
                                <w:t>Study</w:t>
                              </w:r>
                              <w:proofErr w:type="spellEnd"/>
                              <w:r>
                                <w:rPr>
                                  <w:rFonts w:ascii="Arial" w:eastAsia="Times New Roman" w:hAnsi="Arial" w:cs="Arial"/>
                                  <w:color w:val="013870"/>
                                  <w:sz w:val="21"/>
                                  <w:szCs w:val="21"/>
                                </w:rPr>
                                <w:t xml:space="preserve"> op </w:t>
                              </w:r>
                              <w:hyperlink r:id="rId8" w:history="1">
                                <w:r>
                                  <w:rPr>
                                    <w:rStyle w:val="Hyperlink"/>
                                    <w:rFonts w:eastAsia="Times New Roman"/>
                                    <w:sz w:val="21"/>
                                    <w:szCs w:val="21"/>
                                  </w:rPr>
                                  <w:t>het NRO-congres</w:t>
                                </w:r>
                              </w:hyperlink>
                            </w:p>
                            <w:p w:rsidR="00593FE8" w:rsidRDefault="00593FE8">
                              <w:pPr>
                                <w:numPr>
                                  <w:ilvl w:val="0"/>
                                  <w:numId w:val="1"/>
                                </w:numPr>
                                <w:spacing w:before="100" w:beforeAutospacing="1" w:after="100" w:afterAutospacing="1" w:line="300" w:lineRule="atLeast"/>
                                <w:rPr>
                                  <w:rFonts w:ascii="Arial" w:eastAsia="Times New Roman" w:hAnsi="Arial" w:cs="Arial"/>
                                  <w:color w:val="013870"/>
                                  <w:sz w:val="21"/>
                                  <w:szCs w:val="21"/>
                                </w:rPr>
                              </w:pPr>
                              <w:hyperlink r:id="rId9" w:history="1">
                                <w:r>
                                  <w:rPr>
                                    <w:rStyle w:val="Hyperlink"/>
                                    <w:rFonts w:eastAsia="Times New Roman"/>
                                    <w:sz w:val="21"/>
                                    <w:szCs w:val="21"/>
                                  </w:rPr>
                                  <w:t>lees het hele bericht </w:t>
                                </w:r>
                              </w:hyperlink>
                            </w:p>
                            <w:p w:rsidR="00593FE8" w:rsidRDefault="00593FE8">
                              <w:pPr>
                                <w:numPr>
                                  <w:ilvl w:val="0"/>
                                  <w:numId w:val="1"/>
                                </w:numPr>
                                <w:spacing w:before="100" w:beforeAutospacing="1" w:after="100" w:afterAutospacing="1" w:line="300" w:lineRule="atLeast"/>
                                <w:rPr>
                                  <w:rFonts w:ascii="Arial" w:eastAsia="Times New Roman" w:hAnsi="Arial" w:cs="Arial"/>
                                  <w:color w:val="013870"/>
                                  <w:sz w:val="21"/>
                                  <w:szCs w:val="21"/>
                                </w:rPr>
                              </w:pPr>
                              <w:r>
                                <w:rPr>
                                  <w:rFonts w:ascii="Arial" w:eastAsia="Times New Roman" w:hAnsi="Arial" w:cs="Arial"/>
                                  <w:color w:val="013870"/>
                                  <w:sz w:val="21"/>
                                  <w:szCs w:val="21"/>
                                </w:rPr>
                                <w:t>ga </w:t>
                              </w:r>
                              <w:hyperlink r:id="rId10" w:history="1">
                                <w:r>
                                  <w:rPr>
                                    <w:rStyle w:val="Hyperlink"/>
                                    <w:rFonts w:eastAsia="Times New Roman"/>
                                    <w:sz w:val="21"/>
                                    <w:szCs w:val="21"/>
                                  </w:rPr>
                                  <w:t xml:space="preserve">direct naar het 'Case report </w:t>
                                </w:r>
                                <w:proofErr w:type="spellStart"/>
                                <w:r>
                                  <w:rPr>
                                    <w:rStyle w:val="Hyperlink"/>
                                    <w:rFonts w:eastAsia="Times New Roman"/>
                                    <w:sz w:val="21"/>
                                    <w:szCs w:val="21"/>
                                  </w:rPr>
                                  <w:t>Lesson</w:t>
                                </w:r>
                                <w:proofErr w:type="spellEnd"/>
                                <w:r>
                                  <w:rPr>
                                    <w:rStyle w:val="Hyperlink"/>
                                    <w:rFonts w:eastAsia="Times New Roman"/>
                                    <w:sz w:val="21"/>
                                    <w:szCs w:val="21"/>
                                  </w:rPr>
                                  <w:t xml:space="preserve"> </w:t>
                                </w:r>
                                <w:proofErr w:type="spellStart"/>
                                <w:r>
                                  <w:rPr>
                                    <w:rStyle w:val="Hyperlink"/>
                                    <w:rFonts w:eastAsia="Times New Roman"/>
                                    <w:sz w:val="21"/>
                                    <w:szCs w:val="21"/>
                                  </w:rPr>
                                  <w:t>Study</w:t>
                                </w:r>
                                <w:proofErr w:type="spellEnd"/>
                                <w:r>
                                  <w:rPr>
                                    <w:rStyle w:val="Hyperlink"/>
                                    <w:rFonts w:eastAsia="Times New Roman"/>
                                    <w:sz w:val="21"/>
                                    <w:szCs w:val="21"/>
                                  </w:rPr>
                                  <w:t>'</w:t>
                                </w:r>
                              </w:hyperlink>
                            </w:p>
                          </w:tc>
                        </w:tr>
                      </w:tbl>
                      <w:p w:rsidR="00593FE8" w:rsidRDefault="00593FE8">
                        <w:pPr>
                          <w:spacing w:line="300" w:lineRule="atLeast"/>
                          <w:rPr>
                            <w:rFonts w:ascii="Arial" w:eastAsia="Times New Roman" w:hAnsi="Arial" w:cs="Arial"/>
                            <w:vanish/>
                            <w:color w:val="013870"/>
                            <w:sz w:val="21"/>
                            <w:szCs w:val="21"/>
                          </w:rPr>
                        </w:pPr>
                        <w:bookmarkStart w:id="3" w:name="toc_item_2"/>
                        <w:bookmarkEnd w:id="3"/>
                      </w:p>
                      <w:tbl>
                        <w:tblPr>
                          <w:tblW w:w="5000" w:type="pct"/>
                          <w:tblCellMar>
                            <w:left w:w="0" w:type="dxa"/>
                            <w:right w:w="0" w:type="dxa"/>
                          </w:tblCellMar>
                          <w:tblLook w:val="04A0" w:firstRow="1" w:lastRow="0" w:firstColumn="1" w:lastColumn="0" w:noHBand="0" w:noVBand="1"/>
                        </w:tblPr>
                        <w:tblGrid>
                          <w:gridCol w:w="10500"/>
                        </w:tblGrid>
                        <w:tr w:rsidR="00593FE8">
                          <w:tc>
                            <w:tcPr>
                              <w:tcW w:w="0" w:type="auto"/>
                              <w:tcBorders>
                                <w:top w:val="nil"/>
                                <w:left w:val="nil"/>
                                <w:bottom w:val="single" w:sz="6" w:space="0" w:color="E7E8F3"/>
                                <w:right w:val="nil"/>
                              </w:tcBorders>
                              <w:tcMar>
                                <w:top w:w="225" w:type="dxa"/>
                                <w:left w:w="0" w:type="dxa"/>
                                <w:bottom w:w="75" w:type="dxa"/>
                                <w:right w:w="0" w:type="dxa"/>
                              </w:tcMar>
                              <w:vAlign w:val="center"/>
                              <w:hideMark/>
                            </w:tcPr>
                            <w:p w:rsidR="00593FE8" w:rsidRDefault="00593FE8">
                              <w:pPr>
                                <w:pStyle w:val="Kop1"/>
                                <w:rPr>
                                  <w:rFonts w:eastAsia="Times New Roman"/>
                                </w:rPr>
                              </w:pPr>
                              <w:r>
                                <w:rPr>
                                  <w:rFonts w:eastAsia="Times New Roman"/>
                                </w:rPr>
                                <w:t>Goede professionalisering van leraar bepalend voor onderwijskwaliteit</w:t>
                              </w:r>
                            </w:p>
                            <w:p w:rsidR="00593FE8" w:rsidRDefault="00593FE8">
                              <w:pPr>
                                <w:pStyle w:val="Normaalweb"/>
                              </w:pPr>
                              <w:r>
                                <w:rPr>
                                  <w:rStyle w:val="Zwaar"/>
                                </w:rPr>
                                <w:t>Met het dreigende lerarentekort is goede scholing en begeleiding van beginnende én ervaren leraren van belang om de kwaliteit van het onderwijs op peil te houden. Effectieve professionalisering leidt er bovendien toe dat leraren behouden blijven voor het onderwijs. Effectieve scholing moet wel aan een aantal kenmerken voldoen.</w:t>
                              </w:r>
                            </w:p>
                            <w:p w:rsidR="00593FE8" w:rsidRDefault="00593FE8">
                              <w:pPr>
                                <w:pStyle w:val="Normaalweb"/>
                              </w:pPr>
                              <w:r>
                                <w:lastRenderedPageBreak/>
                                <w:t>Deze kenmerken zijn echter op zich geen garantie voor succes. Het werpt vooral vruchten af als maatwerk wordt geleverd, de persoonlijke context van de leraar erbij wordt betrokken en het leerproces van leerlingen centraal staat.</w:t>
                              </w:r>
                            </w:p>
                            <w:p w:rsidR="00593FE8" w:rsidRDefault="00593FE8">
                              <w:pPr>
                                <w:numPr>
                                  <w:ilvl w:val="0"/>
                                  <w:numId w:val="2"/>
                                </w:numPr>
                                <w:spacing w:before="100" w:beforeAutospacing="1" w:after="100" w:afterAutospacing="1" w:line="300" w:lineRule="atLeast"/>
                                <w:rPr>
                                  <w:rFonts w:ascii="Arial" w:eastAsia="Times New Roman" w:hAnsi="Arial" w:cs="Arial"/>
                                  <w:color w:val="013870"/>
                                  <w:sz w:val="21"/>
                                  <w:szCs w:val="21"/>
                                </w:rPr>
                              </w:pPr>
                              <w:hyperlink r:id="rId11" w:history="1">
                                <w:r>
                                  <w:rPr>
                                    <w:rStyle w:val="Hyperlink"/>
                                    <w:rFonts w:eastAsia="Times New Roman"/>
                                    <w:sz w:val="21"/>
                                    <w:szCs w:val="21"/>
                                  </w:rPr>
                                  <w:t>lees het hele bericht</w:t>
                                </w:r>
                              </w:hyperlink>
                              <w:r>
                                <w:rPr>
                                  <w:rFonts w:ascii="Arial" w:eastAsia="Times New Roman" w:hAnsi="Arial" w:cs="Arial"/>
                                  <w:color w:val="013870"/>
                                  <w:sz w:val="21"/>
                                  <w:szCs w:val="21"/>
                                </w:rPr>
                                <w:t xml:space="preserve"> over deze literatuurstudie door de Rijksuniversiteit Groningen </w:t>
                              </w:r>
                            </w:p>
                            <w:p w:rsidR="00593FE8" w:rsidRDefault="00593FE8">
                              <w:pPr>
                                <w:numPr>
                                  <w:ilvl w:val="0"/>
                                  <w:numId w:val="2"/>
                                </w:numPr>
                                <w:spacing w:before="100" w:beforeAutospacing="1" w:after="100" w:afterAutospacing="1" w:line="300" w:lineRule="atLeast"/>
                                <w:rPr>
                                  <w:rFonts w:ascii="Arial" w:eastAsia="Times New Roman" w:hAnsi="Arial" w:cs="Arial"/>
                                  <w:color w:val="013870"/>
                                  <w:sz w:val="21"/>
                                  <w:szCs w:val="21"/>
                                </w:rPr>
                              </w:pPr>
                              <w:r>
                                <w:rPr>
                                  <w:rFonts w:ascii="Arial" w:eastAsia="Times New Roman" w:hAnsi="Arial" w:cs="Arial"/>
                                  <w:color w:val="013870"/>
                                  <w:sz w:val="21"/>
                                  <w:szCs w:val="21"/>
                                </w:rPr>
                                <w:t>ga </w:t>
                              </w:r>
                              <w:hyperlink r:id="rId12" w:history="1">
                                <w:r>
                                  <w:rPr>
                                    <w:rStyle w:val="Hyperlink"/>
                                    <w:rFonts w:eastAsia="Times New Roman"/>
                                    <w:sz w:val="21"/>
                                    <w:szCs w:val="21"/>
                                  </w:rPr>
                                  <w:t>direct naar de literatuurstudie over professionalisering</w:t>
                                </w:r>
                              </w:hyperlink>
                            </w:p>
                          </w:tc>
                        </w:tr>
                      </w:tbl>
                      <w:p w:rsidR="00593FE8" w:rsidRDefault="00593FE8">
                        <w:pPr>
                          <w:spacing w:line="300" w:lineRule="atLeast"/>
                          <w:rPr>
                            <w:rFonts w:ascii="Arial" w:eastAsia="Times New Roman" w:hAnsi="Arial" w:cs="Arial"/>
                            <w:vanish/>
                            <w:color w:val="013870"/>
                            <w:sz w:val="21"/>
                            <w:szCs w:val="21"/>
                          </w:rPr>
                        </w:pPr>
                        <w:bookmarkStart w:id="4" w:name="toc_item_3"/>
                        <w:bookmarkEnd w:id="4"/>
                      </w:p>
                      <w:tbl>
                        <w:tblPr>
                          <w:tblW w:w="5000" w:type="pct"/>
                          <w:tblCellMar>
                            <w:left w:w="0" w:type="dxa"/>
                            <w:right w:w="0" w:type="dxa"/>
                          </w:tblCellMar>
                          <w:tblLook w:val="04A0" w:firstRow="1" w:lastRow="0" w:firstColumn="1" w:lastColumn="0" w:noHBand="0" w:noVBand="1"/>
                        </w:tblPr>
                        <w:tblGrid>
                          <w:gridCol w:w="10500"/>
                        </w:tblGrid>
                        <w:tr w:rsidR="00593FE8">
                          <w:tc>
                            <w:tcPr>
                              <w:tcW w:w="0" w:type="auto"/>
                              <w:tcBorders>
                                <w:top w:val="nil"/>
                                <w:left w:val="nil"/>
                                <w:bottom w:val="single" w:sz="6" w:space="0" w:color="E7E8F3"/>
                                <w:right w:val="nil"/>
                              </w:tcBorders>
                              <w:tcMar>
                                <w:top w:w="225" w:type="dxa"/>
                                <w:left w:w="0" w:type="dxa"/>
                                <w:bottom w:w="75" w:type="dxa"/>
                                <w:right w:w="0" w:type="dxa"/>
                              </w:tcMar>
                              <w:vAlign w:val="center"/>
                              <w:hideMark/>
                            </w:tcPr>
                            <w:p w:rsidR="00593FE8" w:rsidRDefault="00593FE8">
                              <w:pPr>
                                <w:pStyle w:val="Kop1"/>
                                <w:rPr>
                                  <w:rFonts w:eastAsia="Times New Roman"/>
                                </w:rPr>
                              </w:pPr>
                              <w:r>
                                <w:rPr>
                                  <w:rFonts w:eastAsia="Times New Roman"/>
                                </w:rPr>
                                <w:t>Effectief formatief evalueren door kleine stappen te zetten</w:t>
                              </w:r>
                            </w:p>
                            <w:p w:rsidR="00593FE8" w:rsidRDefault="00593FE8">
                              <w:pPr>
                                <w:pStyle w:val="Normaalweb"/>
                              </w:pPr>
                              <w:r>
                                <w:rPr>
                                  <w:rStyle w:val="Zwaar"/>
                                </w:rPr>
                                <w:t xml:space="preserve">Er wordt veel van formatief toetsen verwacht. De </w:t>
                              </w:r>
                              <w:hyperlink r:id="rId13" w:history="1">
                                <w:r>
                                  <w:rPr>
                                    <w:rStyle w:val="Hyperlink"/>
                                    <w:b/>
                                    <w:bCs/>
                                  </w:rPr>
                                  <w:t>Facebookgroep ‘Actief leren zonder cijfers’</w:t>
                                </w:r>
                              </w:hyperlink>
                              <w:r>
                                <w:rPr>
                                  <w:rStyle w:val="Zwaar"/>
                                </w:rPr>
                                <w:t xml:space="preserve"> groeit als kool. Maar het blijkt vaak nog moeilijk in te zetten. “Het beste kan de docent heel klein beginnen in zijn eigen lespraktijk met zijn eigen leerlingen”, zeggen onderzoekers Judith </w:t>
                              </w:r>
                              <w:proofErr w:type="spellStart"/>
                              <w:r>
                                <w:rPr>
                                  <w:rStyle w:val="Zwaar"/>
                                </w:rPr>
                                <w:t>Gulikers</w:t>
                              </w:r>
                              <w:proofErr w:type="spellEnd"/>
                              <w:r>
                                <w:rPr>
                                  <w:rStyle w:val="Zwaar"/>
                                </w:rPr>
                                <w:t xml:space="preserve"> en Liesbeth Baartman. “Door kleine stappen te zetten, succeservaringen op te doen en van daaruit verder te bouwen.”</w:t>
                              </w:r>
                            </w:p>
                            <w:p w:rsidR="00593FE8" w:rsidRDefault="00593FE8">
                              <w:pPr>
                                <w:pStyle w:val="Normaalweb"/>
                              </w:pPr>
                              <w:r>
                                <w:t>Om formatief evalueren goed te kunnen toepassen, hebben docenten vakinhoudelijke kennis nodig en inzicht in</w:t>
                              </w:r>
                              <w:r>
                                <w:rPr>
                                  <w:rStyle w:val="Nadruk"/>
                                </w:rPr>
                                <w:t xml:space="preserve"> </w:t>
                              </w:r>
                              <w:proofErr w:type="spellStart"/>
                              <w:r>
                                <w:rPr>
                                  <w:rStyle w:val="Nadruk"/>
                                </w:rPr>
                                <w:t>learning</w:t>
                              </w:r>
                              <w:proofErr w:type="spellEnd"/>
                              <w:r>
                                <w:rPr>
                                  <w:rStyle w:val="Nadruk"/>
                                </w:rPr>
                                <w:t xml:space="preserve"> </w:t>
                              </w:r>
                              <w:proofErr w:type="spellStart"/>
                              <w:r>
                                <w:rPr>
                                  <w:rStyle w:val="Nadruk"/>
                                </w:rPr>
                                <w:t>progressions</w:t>
                              </w:r>
                              <w:proofErr w:type="spellEnd"/>
                              <w:r>
                                <w:rPr>
                                  <w:rStyle w:val="Nadruk"/>
                                </w:rPr>
                                <w:t xml:space="preserve"> </w:t>
                              </w:r>
                              <w:r>
                                <w:t>(hoe de kennis van de leerling zich ontwikkelt en welke misconcepties er zijn). Ook is het belangrijk dat zij beschikken over een vakdidactisch handelingsrepertoire.</w:t>
                              </w:r>
                            </w:p>
                            <w:p w:rsidR="00593FE8" w:rsidRDefault="00593FE8">
                              <w:pPr>
                                <w:numPr>
                                  <w:ilvl w:val="0"/>
                                  <w:numId w:val="3"/>
                                </w:numPr>
                                <w:spacing w:before="100" w:beforeAutospacing="1" w:after="100" w:afterAutospacing="1" w:line="300" w:lineRule="atLeast"/>
                                <w:rPr>
                                  <w:rFonts w:ascii="Arial" w:eastAsia="Times New Roman" w:hAnsi="Arial" w:cs="Arial"/>
                                  <w:color w:val="013870"/>
                                  <w:sz w:val="21"/>
                                  <w:szCs w:val="21"/>
                                </w:rPr>
                              </w:pPr>
                              <w:hyperlink r:id="rId14" w:history="1">
                                <w:r>
                                  <w:rPr>
                                    <w:rStyle w:val="Hyperlink"/>
                                    <w:rFonts w:eastAsia="Times New Roman"/>
                                    <w:sz w:val="21"/>
                                    <w:szCs w:val="21"/>
                                  </w:rPr>
                                  <w:t>lees het hele bericht</w:t>
                                </w:r>
                              </w:hyperlink>
                              <w:r>
                                <w:rPr>
                                  <w:rFonts w:ascii="Arial" w:eastAsia="Times New Roman" w:hAnsi="Arial" w:cs="Arial"/>
                                  <w:color w:val="013870"/>
                                  <w:sz w:val="21"/>
                                  <w:szCs w:val="21"/>
                                </w:rPr>
                                <w:t> over deze literatuurstudie door Wageningen Universiteit en Hogeschool Utrecht</w:t>
                              </w:r>
                            </w:p>
                            <w:p w:rsidR="00593FE8" w:rsidRDefault="00593FE8">
                              <w:pPr>
                                <w:numPr>
                                  <w:ilvl w:val="0"/>
                                  <w:numId w:val="3"/>
                                </w:numPr>
                                <w:spacing w:before="100" w:beforeAutospacing="1" w:after="100" w:afterAutospacing="1" w:line="300" w:lineRule="atLeast"/>
                                <w:rPr>
                                  <w:rFonts w:ascii="Arial" w:eastAsia="Times New Roman" w:hAnsi="Arial" w:cs="Arial"/>
                                  <w:color w:val="013870"/>
                                  <w:sz w:val="21"/>
                                  <w:szCs w:val="21"/>
                                </w:rPr>
                              </w:pPr>
                              <w:r>
                                <w:rPr>
                                  <w:rFonts w:ascii="Arial" w:eastAsia="Times New Roman" w:hAnsi="Arial" w:cs="Arial"/>
                                  <w:color w:val="013870"/>
                                  <w:sz w:val="21"/>
                                  <w:szCs w:val="21"/>
                                </w:rPr>
                                <w:t>ga </w:t>
                              </w:r>
                              <w:hyperlink r:id="rId15" w:history="1">
                                <w:r>
                                  <w:rPr>
                                    <w:rStyle w:val="Hyperlink"/>
                                    <w:rFonts w:eastAsia="Times New Roman"/>
                                    <w:sz w:val="21"/>
                                    <w:szCs w:val="21"/>
                                  </w:rPr>
                                  <w:t>direct naar de literatuurstudie over formatief evalueren</w:t>
                                </w:r>
                              </w:hyperlink>
                            </w:p>
                          </w:tc>
                        </w:tr>
                      </w:tbl>
                      <w:p w:rsidR="00593FE8" w:rsidRDefault="00593FE8">
                        <w:pPr>
                          <w:spacing w:line="300" w:lineRule="atLeast"/>
                          <w:rPr>
                            <w:rFonts w:ascii="Arial" w:eastAsia="Times New Roman" w:hAnsi="Arial" w:cs="Arial"/>
                            <w:vanish/>
                            <w:color w:val="013870"/>
                            <w:sz w:val="21"/>
                            <w:szCs w:val="21"/>
                          </w:rPr>
                        </w:pPr>
                        <w:bookmarkStart w:id="5" w:name="toc_item_4"/>
                        <w:bookmarkEnd w:id="5"/>
                      </w:p>
                      <w:tbl>
                        <w:tblPr>
                          <w:tblW w:w="5000" w:type="pct"/>
                          <w:tblCellMar>
                            <w:left w:w="0" w:type="dxa"/>
                            <w:right w:w="0" w:type="dxa"/>
                          </w:tblCellMar>
                          <w:tblLook w:val="04A0" w:firstRow="1" w:lastRow="0" w:firstColumn="1" w:lastColumn="0" w:noHBand="0" w:noVBand="1"/>
                        </w:tblPr>
                        <w:tblGrid>
                          <w:gridCol w:w="10500"/>
                        </w:tblGrid>
                        <w:tr w:rsidR="00593FE8">
                          <w:tc>
                            <w:tcPr>
                              <w:tcW w:w="0" w:type="auto"/>
                              <w:tcBorders>
                                <w:top w:val="nil"/>
                                <w:left w:val="nil"/>
                                <w:bottom w:val="single" w:sz="6" w:space="0" w:color="E7E8F3"/>
                                <w:right w:val="nil"/>
                              </w:tcBorders>
                              <w:tcMar>
                                <w:top w:w="225" w:type="dxa"/>
                                <w:left w:w="0" w:type="dxa"/>
                                <w:bottom w:w="75" w:type="dxa"/>
                                <w:right w:w="0" w:type="dxa"/>
                              </w:tcMar>
                              <w:vAlign w:val="center"/>
                              <w:hideMark/>
                            </w:tcPr>
                            <w:p w:rsidR="00593FE8" w:rsidRDefault="00593FE8">
                              <w:pPr>
                                <w:pStyle w:val="Kop1"/>
                                <w:rPr>
                                  <w:rFonts w:eastAsia="Times New Roman"/>
                                </w:rPr>
                              </w:pPr>
                              <w:r>
                                <w:rPr>
                                  <w:rFonts w:eastAsia="Times New Roman"/>
                                </w:rPr>
                                <w:t>Andere overzichtsstudies</w:t>
                              </w:r>
                            </w:p>
                            <w:p w:rsidR="00593FE8" w:rsidRDefault="00593FE8">
                              <w:pPr>
                                <w:pStyle w:val="Normaalweb"/>
                              </w:pPr>
                              <w:r>
                                <w:t>De afgelopen maanden zijn ook onderstaande reviewstudies afgerond. De meest actuele info is te vinden in de NRO-projectendatabase:</w:t>
                              </w:r>
                            </w:p>
                            <w:p w:rsidR="00593FE8" w:rsidRDefault="00593FE8">
                              <w:pPr>
                                <w:numPr>
                                  <w:ilvl w:val="0"/>
                                  <w:numId w:val="4"/>
                                </w:numPr>
                                <w:spacing w:before="100" w:beforeAutospacing="1" w:after="100" w:afterAutospacing="1" w:line="300" w:lineRule="atLeast"/>
                                <w:rPr>
                                  <w:rFonts w:ascii="Arial" w:eastAsia="Times New Roman" w:hAnsi="Arial" w:cs="Arial"/>
                                  <w:color w:val="013870"/>
                                  <w:sz w:val="21"/>
                                  <w:szCs w:val="21"/>
                                </w:rPr>
                              </w:pPr>
                              <w:hyperlink r:id="rId16" w:history="1">
                                <w:r>
                                  <w:rPr>
                                    <w:rStyle w:val="Hyperlink"/>
                                    <w:rFonts w:eastAsia="Times New Roman"/>
                                    <w:sz w:val="21"/>
                                    <w:szCs w:val="21"/>
                                  </w:rPr>
                                  <w:t>Vakdidactische ontwikkeling van bèta-docenten voor effectieve onderwijspraktijken</w:t>
                                </w:r>
                              </w:hyperlink>
                              <w:r>
                                <w:rPr>
                                  <w:rFonts w:ascii="Arial" w:eastAsia="Times New Roman" w:hAnsi="Arial" w:cs="Arial"/>
                                  <w:color w:val="013870"/>
                                  <w:sz w:val="21"/>
                                  <w:szCs w:val="21"/>
                                </w:rPr>
                                <w:t>: In dit onderzoek zijn leerlijnen (of 'leerprogressies') ontwikkeld, die bètadocenten helpen om onderzoekend leren stapsgewijs in hun lessen in te brengen. De leerprogressies zijn praktisch: ze gaan uit van wat docenten al doen en laten zien hoe ze met kleine stappen verder kunnen werken. Ze bieden bovendien een kader voor professionaliseringstrajecten.</w:t>
                              </w:r>
                            </w:p>
                            <w:p w:rsidR="00593FE8" w:rsidRDefault="00593FE8">
                              <w:pPr>
                                <w:numPr>
                                  <w:ilvl w:val="0"/>
                                  <w:numId w:val="4"/>
                                </w:numPr>
                                <w:spacing w:before="100" w:beforeAutospacing="1" w:after="100" w:afterAutospacing="1" w:line="300" w:lineRule="atLeast"/>
                                <w:rPr>
                                  <w:rFonts w:ascii="Arial" w:eastAsia="Times New Roman" w:hAnsi="Arial" w:cs="Arial"/>
                                  <w:color w:val="013870"/>
                                  <w:sz w:val="21"/>
                                  <w:szCs w:val="21"/>
                                </w:rPr>
                              </w:pPr>
                              <w:hyperlink r:id="rId17" w:history="1">
                                <w:r>
                                  <w:rPr>
                                    <w:rStyle w:val="Hyperlink"/>
                                    <w:rFonts w:eastAsia="Times New Roman"/>
                                    <w:sz w:val="21"/>
                                    <w:szCs w:val="21"/>
                                  </w:rPr>
                                  <w:t>Effecten van leesmotivatie-interventies</w:t>
                                </w:r>
                              </w:hyperlink>
                              <w:r>
                                <w:rPr>
                                  <w:rFonts w:ascii="Arial" w:eastAsia="Times New Roman" w:hAnsi="Arial" w:cs="Arial"/>
                                  <w:color w:val="013870"/>
                                  <w:sz w:val="21"/>
                                  <w:szCs w:val="21"/>
                                </w:rPr>
                                <w:t>: Leesmotivatieprogramma’s hebben een positief effect op leesmotivatie én op begrijpend lezen. Dat geldt zeker ook voor leerlingen die niet zo gemotiveerd zijn om te lezen, zoals zwakke lezers of middelbare scholieren. Vooral voor hen heeft het zin dit soort programma’s in te zetten.</w:t>
                              </w:r>
                            </w:p>
                            <w:p w:rsidR="00593FE8" w:rsidRDefault="00593FE8">
                              <w:pPr>
                                <w:numPr>
                                  <w:ilvl w:val="0"/>
                                  <w:numId w:val="4"/>
                                </w:numPr>
                                <w:spacing w:before="100" w:beforeAutospacing="1" w:after="100" w:afterAutospacing="1" w:line="300" w:lineRule="atLeast"/>
                                <w:rPr>
                                  <w:rFonts w:ascii="Arial" w:eastAsia="Times New Roman" w:hAnsi="Arial" w:cs="Arial"/>
                                  <w:color w:val="013870"/>
                                  <w:sz w:val="21"/>
                                  <w:szCs w:val="21"/>
                                </w:rPr>
                              </w:pPr>
                              <w:hyperlink r:id="rId18" w:history="1">
                                <w:r>
                                  <w:rPr>
                                    <w:rStyle w:val="Hyperlink"/>
                                    <w:rFonts w:eastAsia="Times New Roman"/>
                                    <w:sz w:val="21"/>
                                    <w:szCs w:val="21"/>
                                  </w:rPr>
                                  <w:t>Pedagogisch-didactische aspecten van werkplekleren in het beroepsonderwijs</w:t>
                                </w:r>
                              </w:hyperlink>
                              <w:r>
                                <w:rPr>
                                  <w:rFonts w:ascii="Arial" w:eastAsia="Times New Roman" w:hAnsi="Arial" w:cs="Arial"/>
                                  <w:color w:val="013870"/>
                                  <w:sz w:val="21"/>
                                  <w:szCs w:val="21"/>
                                </w:rPr>
                                <w:t>: In het ontwerp van werkplekleren moeten pedagogisch-didactische interventies altijd worden toegesneden op vier specifieke kernelementen van de context. Uitwerking van deze kernelementen levert een set van </w:t>
                              </w:r>
                              <w:hyperlink r:id="rId19" w:history="1">
                                <w:r>
                                  <w:rPr>
                                    <w:rStyle w:val="Hyperlink"/>
                                    <w:rFonts w:eastAsia="Times New Roman"/>
                                    <w:sz w:val="21"/>
                                    <w:szCs w:val="21"/>
                                  </w:rPr>
                                  <w:t>elf globale ontwerpregels</w:t>
                                </w:r>
                              </w:hyperlink>
                              <w:r>
                                <w:rPr>
                                  <w:rFonts w:ascii="Arial" w:eastAsia="Times New Roman" w:hAnsi="Arial" w:cs="Arial"/>
                                  <w:color w:val="013870"/>
                                  <w:sz w:val="21"/>
                                  <w:szCs w:val="21"/>
                                </w:rPr>
                                <w:t xml:space="preserve"> op.</w:t>
                              </w:r>
                            </w:p>
                            <w:p w:rsidR="00593FE8" w:rsidRDefault="00593FE8">
                              <w:pPr>
                                <w:numPr>
                                  <w:ilvl w:val="0"/>
                                  <w:numId w:val="4"/>
                                </w:numPr>
                                <w:spacing w:before="100" w:beforeAutospacing="1" w:after="100" w:afterAutospacing="1" w:line="300" w:lineRule="atLeast"/>
                                <w:rPr>
                                  <w:rFonts w:ascii="Arial" w:eastAsia="Times New Roman" w:hAnsi="Arial" w:cs="Arial"/>
                                  <w:color w:val="013870"/>
                                  <w:sz w:val="21"/>
                                  <w:szCs w:val="21"/>
                                </w:rPr>
                              </w:pPr>
                              <w:hyperlink r:id="rId20" w:history="1">
                                <w:r>
                                  <w:rPr>
                                    <w:rStyle w:val="Hyperlink"/>
                                    <w:rFonts w:eastAsia="Times New Roman"/>
                                    <w:sz w:val="21"/>
                                    <w:szCs w:val="21"/>
                                  </w:rPr>
                                  <w:t>Een i</w:t>
                                </w:r>
                              </w:hyperlink>
                              <w:hyperlink r:id="rId21" w:history="1">
                                <w:r>
                                  <w:rPr>
                                    <w:rStyle w:val="Hyperlink"/>
                                    <w:rFonts w:eastAsia="Times New Roman"/>
                                    <w:sz w:val="21"/>
                                    <w:szCs w:val="21"/>
                                  </w:rPr>
                                  <w:t>nternationale vergelijking van de relatie tussen de onderwijskwaliteit en het onderwijsbestuur in het primair en voortgezet onderwijs</w:t>
                                </w:r>
                              </w:hyperlink>
                              <w:r>
                                <w:rPr>
                                  <w:rFonts w:ascii="Arial" w:eastAsia="Times New Roman" w:hAnsi="Arial" w:cs="Arial"/>
                                  <w:color w:val="013870"/>
                                  <w:sz w:val="21"/>
                                  <w:szCs w:val="21"/>
                                </w:rPr>
                                <w:t>: Veel onderwijsbeleid leunt op het functioneren van besturen. Maar er blijkt weinig bekend over de vraag of en hoe besturen invloed kunnen uitoefenen op onderwijskwaliteit.</w:t>
                              </w:r>
                            </w:p>
                            <w:p w:rsidR="00593FE8" w:rsidRDefault="00593FE8">
                              <w:pPr>
                                <w:numPr>
                                  <w:ilvl w:val="0"/>
                                  <w:numId w:val="4"/>
                                </w:numPr>
                                <w:spacing w:before="100" w:beforeAutospacing="1" w:after="100" w:afterAutospacing="1" w:line="300" w:lineRule="atLeast"/>
                                <w:rPr>
                                  <w:rFonts w:ascii="Arial" w:eastAsia="Times New Roman" w:hAnsi="Arial" w:cs="Arial"/>
                                  <w:color w:val="013870"/>
                                  <w:sz w:val="21"/>
                                  <w:szCs w:val="21"/>
                                </w:rPr>
                              </w:pPr>
                              <w:hyperlink r:id="rId22" w:history="1">
                                <w:r>
                                  <w:rPr>
                                    <w:rStyle w:val="Hyperlink"/>
                                    <w:rFonts w:eastAsia="Times New Roman"/>
                                    <w:sz w:val="21"/>
                                    <w:szCs w:val="21"/>
                                  </w:rPr>
                                  <w:t>De overgang van primair naar voortgezet onderwijs in internationaal perspectief</w:t>
                                </w:r>
                              </w:hyperlink>
                              <w:r>
                                <w:rPr>
                                  <w:rFonts w:ascii="Arial" w:eastAsia="Times New Roman" w:hAnsi="Arial" w:cs="Arial"/>
                                  <w:color w:val="013870"/>
                                  <w:sz w:val="21"/>
                                  <w:szCs w:val="21"/>
                                </w:rPr>
                                <w:t>: De kenmerken van negen Europese onderwijsstelsels zijn vergeleken, met hun (mogelijke) effecten op de schoolloopbaan, de cognitieve en de niet-cognitieve ontwikkeling van leerlingen rondom de po-vo overgang. Conclusie: er is niet één beste onderwijsstelstel.</w:t>
                              </w:r>
                            </w:p>
                            <w:p w:rsidR="00593FE8" w:rsidRDefault="00593FE8">
                              <w:pPr>
                                <w:numPr>
                                  <w:ilvl w:val="0"/>
                                  <w:numId w:val="4"/>
                                </w:numPr>
                                <w:spacing w:before="100" w:beforeAutospacing="1" w:after="100" w:afterAutospacing="1" w:line="300" w:lineRule="atLeast"/>
                                <w:rPr>
                                  <w:rFonts w:ascii="Arial" w:eastAsia="Times New Roman" w:hAnsi="Arial" w:cs="Arial"/>
                                  <w:color w:val="013870"/>
                                  <w:sz w:val="21"/>
                                  <w:szCs w:val="21"/>
                                </w:rPr>
                              </w:pPr>
                              <w:hyperlink r:id="rId23" w:history="1">
                                <w:r>
                                  <w:rPr>
                                    <w:rStyle w:val="Hyperlink"/>
                                    <w:rFonts w:eastAsia="Times New Roman"/>
                                    <w:sz w:val="21"/>
                                    <w:szCs w:val="21"/>
                                  </w:rPr>
                                  <w:t>Onderzoek in academische opleidingsscholen</w:t>
                                </w:r>
                              </w:hyperlink>
                              <w:r>
                                <w:rPr>
                                  <w:rFonts w:ascii="Arial" w:eastAsia="Times New Roman" w:hAnsi="Arial" w:cs="Arial"/>
                                  <w:color w:val="013870"/>
                                  <w:sz w:val="21"/>
                                  <w:szCs w:val="21"/>
                                </w:rPr>
                                <w:t xml:space="preserve">: Het praktijkonderzoek dat op de AOS wordt gedaan, leidt vaak daadwerkelijk tot verandering van </w:t>
                              </w:r>
                              <w:proofErr w:type="spellStart"/>
                              <w:r>
                                <w:rPr>
                                  <w:rFonts w:ascii="Arial" w:eastAsia="Times New Roman" w:hAnsi="Arial" w:cs="Arial"/>
                                  <w:color w:val="013870"/>
                                  <w:sz w:val="21"/>
                                  <w:szCs w:val="21"/>
                                </w:rPr>
                                <w:t>leraargedrag</w:t>
                              </w:r>
                              <w:proofErr w:type="spellEnd"/>
                              <w:r>
                                <w:rPr>
                                  <w:rFonts w:ascii="Arial" w:eastAsia="Times New Roman" w:hAnsi="Arial" w:cs="Arial"/>
                                  <w:color w:val="013870"/>
                                  <w:sz w:val="21"/>
                                  <w:szCs w:val="21"/>
                                </w:rPr>
                                <w:t xml:space="preserve"> én heeft invloed op de ontwikkeling van de school.</w:t>
                              </w:r>
                            </w:p>
                            <w:p w:rsidR="00593FE8" w:rsidRDefault="00593FE8">
                              <w:pPr>
                                <w:numPr>
                                  <w:ilvl w:val="0"/>
                                  <w:numId w:val="4"/>
                                </w:numPr>
                                <w:spacing w:before="100" w:beforeAutospacing="1" w:after="100" w:afterAutospacing="1" w:line="300" w:lineRule="atLeast"/>
                                <w:rPr>
                                  <w:rFonts w:ascii="Arial" w:eastAsia="Times New Roman" w:hAnsi="Arial" w:cs="Arial"/>
                                  <w:color w:val="013870"/>
                                  <w:sz w:val="21"/>
                                  <w:szCs w:val="21"/>
                                </w:rPr>
                              </w:pPr>
                              <w:hyperlink r:id="rId24" w:history="1">
                                <w:r>
                                  <w:rPr>
                                    <w:rStyle w:val="Hyperlink"/>
                                    <w:rFonts w:eastAsia="Times New Roman"/>
                                    <w:sz w:val="21"/>
                                    <w:szCs w:val="21"/>
                                  </w:rPr>
                                  <w:t>Integratie van burgerschap in het curriculum</w:t>
                                </w:r>
                              </w:hyperlink>
                              <w:r>
                                <w:rPr>
                                  <w:rFonts w:ascii="Arial" w:eastAsia="Times New Roman" w:hAnsi="Arial" w:cs="Arial"/>
                                  <w:color w:val="013870"/>
                                  <w:sz w:val="21"/>
                                  <w:szCs w:val="21"/>
                                </w:rPr>
                                <w:t>: Effectief bijdragen aan de ontwikkeling van burgerschapscompetenties: hoe doe je dat als school? De internationale onderzoeksliteratuur reikt hiervoor enkele factoren aan. Inclusief praktijkvoorbeelden uit het Nederlandse primair en voortgezet onderwijs.</w:t>
                              </w:r>
                            </w:p>
                            <w:p w:rsidR="00593FE8" w:rsidRDefault="00593FE8">
                              <w:pPr>
                                <w:numPr>
                                  <w:ilvl w:val="0"/>
                                  <w:numId w:val="4"/>
                                </w:numPr>
                                <w:spacing w:before="100" w:beforeAutospacing="1" w:after="100" w:afterAutospacing="1" w:line="300" w:lineRule="atLeast"/>
                                <w:rPr>
                                  <w:rFonts w:ascii="Arial" w:eastAsia="Times New Roman" w:hAnsi="Arial" w:cs="Arial"/>
                                  <w:color w:val="013870"/>
                                  <w:sz w:val="21"/>
                                  <w:szCs w:val="21"/>
                                </w:rPr>
                              </w:pPr>
                              <w:hyperlink r:id="rId25" w:history="1">
                                <w:r>
                                  <w:rPr>
                                    <w:rStyle w:val="Hyperlink"/>
                                    <w:rFonts w:eastAsia="Times New Roman"/>
                                    <w:sz w:val="21"/>
                                    <w:szCs w:val="21"/>
                                  </w:rPr>
                                  <w:t>Hoe kunnen leraren het samenwerkend leren van leerlingen begeleiden? Strategieën en effecten</w:t>
                                </w:r>
                              </w:hyperlink>
                              <w:r>
                                <w:rPr>
                                  <w:rFonts w:ascii="Arial" w:eastAsia="Times New Roman" w:hAnsi="Arial" w:cs="Arial"/>
                                  <w:color w:val="013870"/>
                                  <w:sz w:val="21"/>
                                  <w:szCs w:val="21"/>
                                </w:rPr>
                                <w:t>: Enkele specifieke begeleidingsstrategieën hebben (meer dan andere) een positief effect op de samenwerking van leerlingen. Het helpt onder meer als leraren zich in hun begeleiding richten op het reguleren van de taakuitvoering en op het sociale aspect van samenwerking.</w:t>
                              </w:r>
                            </w:p>
                            <w:p w:rsidR="00593FE8" w:rsidRDefault="00593FE8">
                              <w:pPr>
                                <w:numPr>
                                  <w:ilvl w:val="0"/>
                                  <w:numId w:val="4"/>
                                </w:numPr>
                                <w:spacing w:before="100" w:beforeAutospacing="1" w:after="100" w:afterAutospacing="1" w:line="300" w:lineRule="atLeast"/>
                                <w:rPr>
                                  <w:rFonts w:ascii="Arial" w:eastAsia="Times New Roman" w:hAnsi="Arial" w:cs="Arial"/>
                                  <w:color w:val="013870"/>
                                  <w:sz w:val="21"/>
                                  <w:szCs w:val="21"/>
                                </w:rPr>
                              </w:pPr>
                              <w:hyperlink r:id="rId26" w:history="1">
                                <w:r>
                                  <w:rPr>
                                    <w:rStyle w:val="Hyperlink"/>
                                    <w:rFonts w:eastAsia="Times New Roman"/>
                                    <w:sz w:val="21"/>
                                    <w:szCs w:val="21"/>
                                  </w:rPr>
                                  <w:t>Effecten van professionalisering van schoolleiders</w:t>
                                </w:r>
                              </w:hyperlink>
                              <w:r>
                                <w:rPr>
                                  <w:rFonts w:ascii="Arial" w:eastAsia="Times New Roman" w:hAnsi="Arial" w:cs="Arial"/>
                                  <w:color w:val="013870"/>
                                  <w:sz w:val="21"/>
                                  <w:szCs w:val="21"/>
                                </w:rPr>
                                <w:t>: Professionalisering van schoolleiders heeft veel effect op de schoolleider zelf. Daarnaast versterkt het de schoolvernieuwing. Ook kan scholing helpen het schoolklimaat te verbeteren. </w:t>
                              </w:r>
                            </w:p>
                          </w:tc>
                        </w:tr>
                      </w:tbl>
                      <w:p w:rsidR="00593FE8" w:rsidRDefault="00593FE8">
                        <w:pPr>
                          <w:rPr>
                            <w:rFonts w:eastAsia="Times New Roman"/>
                            <w:sz w:val="20"/>
                            <w:szCs w:val="20"/>
                          </w:rPr>
                        </w:pPr>
                      </w:p>
                    </w:tc>
                  </w:tr>
                </w:tbl>
                <w:p w:rsidR="00593FE8" w:rsidRDefault="00593FE8">
                  <w:pPr>
                    <w:rPr>
                      <w:rFonts w:eastAsia="Times New Roman"/>
                      <w:sz w:val="20"/>
                      <w:szCs w:val="20"/>
                    </w:rPr>
                  </w:pPr>
                </w:p>
              </w:tc>
            </w:tr>
          </w:tbl>
          <w:p w:rsidR="00593FE8" w:rsidRDefault="00593FE8">
            <w:pPr>
              <w:spacing w:line="300" w:lineRule="atLeast"/>
              <w:rPr>
                <w:rFonts w:ascii="Arial" w:eastAsia="Times New Roman" w:hAnsi="Arial" w:cs="Arial"/>
                <w:vanish/>
                <w:color w:val="013870"/>
                <w:sz w:val="21"/>
                <w:szCs w:val="21"/>
              </w:rPr>
            </w:pPr>
          </w:p>
          <w:tbl>
            <w:tblPr>
              <w:tblW w:w="5000" w:type="pct"/>
              <w:tblCellMar>
                <w:left w:w="0" w:type="dxa"/>
                <w:right w:w="0" w:type="dxa"/>
              </w:tblCellMar>
              <w:tblLook w:val="04A0" w:firstRow="1" w:lastRow="0" w:firstColumn="1" w:lastColumn="0" w:noHBand="0" w:noVBand="1"/>
            </w:tblPr>
            <w:tblGrid>
              <w:gridCol w:w="5250"/>
              <w:gridCol w:w="5250"/>
            </w:tblGrid>
            <w:tr w:rsidR="00593FE8">
              <w:trPr>
                <w:hidden/>
              </w:trPr>
              <w:tc>
                <w:tcPr>
                  <w:tcW w:w="0" w:type="auto"/>
                  <w:gridSpan w:val="2"/>
                  <w:vAlign w:val="center"/>
                  <w:hideMark/>
                </w:tcPr>
                <w:p w:rsidR="00593FE8" w:rsidRDefault="00593FE8">
                  <w:pPr>
                    <w:rPr>
                      <w:rFonts w:ascii="Arial" w:eastAsia="Times New Roman" w:hAnsi="Arial" w:cs="Arial"/>
                      <w:vanish/>
                      <w:color w:val="013870"/>
                      <w:sz w:val="21"/>
                      <w:szCs w:val="21"/>
                    </w:rPr>
                  </w:pPr>
                </w:p>
              </w:tc>
            </w:tr>
            <w:tr w:rsidR="00593FE8">
              <w:tc>
                <w:tcPr>
                  <w:tcW w:w="0" w:type="auto"/>
                  <w:vAlign w:val="center"/>
                  <w:hideMark/>
                </w:tcPr>
                <w:p w:rsidR="00593FE8" w:rsidRDefault="00593FE8">
                  <w:pPr>
                    <w:spacing w:line="300" w:lineRule="atLeast"/>
                    <w:rPr>
                      <w:rFonts w:ascii="Arial" w:eastAsia="Times New Roman" w:hAnsi="Arial" w:cs="Arial"/>
                      <w:color w:val="9F9F9F"/>
                      <w:sz w:val="17"/>
                      <w:szCs w:val="17"/>
                    </w:rPr>
                  </w:pPr>
                </w:p>
              </w:tc>
              <w:tc>
                <w:tcPr>
                  <w:tcW w:w="0" w:type="auto"/>
                  <w:vAlign w:val="center"/>
                  <w:hideMark/>
                </w:tcPr>
                <w:p w:rsidR="00593FE8" w:rsidRDefault="00593FE8">
                  <w:pPr>
                    <w:rPr>
                      <w:rFonts w:ascii="Arial" w:eastAsia="Times New Roman" w:hAnsi="Arial" w:cs="Arial"/>
                      <w:color w:val="9F9F9F"/>
                      <w:sz w:val="17"/>
                      <w:szCs w:val="17"/>
                    </w:rPr>
                  </w:pPr>
                </w:p>
              </w:tc>
            </w:tr>
            <w:tr w:rsidR="00593FE8">
              <w:tc>
                <w:tcPr>
                  <w:tcW w:w="0" w:type="auto"/>
                  <w:gridSpan w:val="2"/>
                  <w:vAlign w:val="center"/>
                  <w:hideMark/>
                </w:tcPr>
                <w:p w:rsidR="00593FE8" w:rsidRDefault="00593FE8">
                  <w:pPr>
                    <w:rPr>
                      <w:rFonts w:eastAsia="Times New Roman"/>
                      <w:sz w:val="20"/>
                      <w:szCs w:val="20"/>
                    </w:rPr>
                  </w:pPr>
                </w:p>
              </w:tc>
            </w:tr>
          </w:tbl>
          <w:p w:rsidR="00593FE8" w:rsidRDefault="00593FE8">
            <w:pP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3FDB"/>
    <w:multiLevelType w:val="multilevel"/>
    <w:tmpl w:val="CEE24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A2B2A"/>
    <w:multiLevelType w:val="multilevel"/>
    <w:tmpl w:val="293A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B3E78"/>
    <w:multiLevelType w:val="multilevel"/>
    <w:tmpl w:val="5ECC5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307CB"/>
    <w:multiLevelType w:val="multilevel"/>
    <w:tmpl w:val="2C227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E8"/>
    <w:rsid w:val="00593FE8"/>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E6D83-9AC8-49CA-AA86-6AB3C492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3FE8"/>
    <w:rPr>
      <w:rFonts w:ascii="Times New Roman" w:hAnsi="Times New Roman" w:cs="Times New Roman"/>
      <w:sz w:val="24"/>
      <w:szCs w:val="24"/>
      <w:lang w:eastAsia="nl-NL"/>
    </w:rPr>
  </w:style>
  <w:style w:type="paragraph" w:styleId="Kop1">
    <w:name w:val="heading 1"/>
    <w:basedOn w:val="Standaard"/>
    <w:link w:val="Kop1Char"/>
    <w:uiPriority w:val="9"/>
    <w:qFormat/>
    <w:rsid w:val="00593FE8"/>
    <w:pPr>
      <w:outlineLvl w:val="0"/>
    </w:pPr>
    <w:rPr>
      <w:rFonts w:ascii="Arial" w:hAnsi="Arial" w:cs="Arial"/>
      <w:color w:val="013870"/>
      <w:kern w:val="36"/>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3FE8"/>
    <w:rPr>
      <w:rFonts w:ascii="Arial" w:hAnsi="Arial" w:cs="Arial"/>
      <w:color w:val="013870"/>
      <w:kern w:val="36"/>
      <w:sz w:val="36"/>
      <w:szCs w:val="36"/>
      <w:lang w:eastAsia="nl-NL"/>
    </w:rPr>
  </w:style>
  <w:style w:type="character" w:styleId="Hyperlink">
    <w:name w:val="Hyperlink"/>
    <w:basedOn w:val="Standaardalinea-lettertype"/>
    <w:uiPriority w:val="99"/>
    <w:semiHidden/>
    <w:unhideWhenUsed/>
    <w:rsid w:val="00593FE8"/>
    <w:rPr>
      <w:color w:val="1896D3"/>
      <w:u w:val="single"/>
    </w:rPr>
  </w:style>
  <w:style w:type="paragraph" w:styleId="Normaalweb">
    <w:name w:val="Normal (Web)"/>
    <w:basedOn w:val="Standaard"/>
    <w:uiPriority w:val="99"/>
    <w:semiHidden/>
    <w:unhideWhenUsed/>
    <w:rsid w:val="00593FE8"/>
    <w:pPr>
      <w:spacing w:before="150" w:after="150" w:line="300" w:lineRule="atLeast"/>
    </w:pPr>
    <w:rPr>
      <w:rFonts w:ascii="Arial" w:hAnsi="Arial" w:cs="Arial"/>
      <w:color w:val="013870"/>
      <w:sz w:val="21"/>
      <w:szCs w:val="21"/>
    </w:rPr>
  </w:style>
  <w:style w:type="character" w:styleId="Zwaar">
    <w:name w:val="Strong"/>
    <w:basedOn w:val="Standaardalinea-lettertype"/>
    <w:uiPriority w:val="22"/>
    <w:qFormat/>
    <w:rsid w:val="00593FE8"/>
    <w:rPr>
      <w:b/>
      <w:bCs/>
    </w:rPr>
  </w:style>
  <w:style w:type="character" w:styleId="Nadruk">
    <w:name w:val="Emphasis"/>
    <w:basedOn w:val="Standaardalinea-lettertype"/>
    <w:uiPriority w:val="20"/>
    <w:qFormat/>
    <w:rsid w:val="00593F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mail.webgenerator.nl/t/r-l-jlirety-ittifhuiy-n/" TargetMode="External"/><Relationship Id="rId13" Type="http://schemas.openxmlformats.org/officeDocument/2006/relationships/hyperlink" Target="http://promail.webgenerator.nl/t/r-l-jlirety-ittifhuiy-q/" TargetMode="External"/><Relationship Id="rId18" Type="http://schemas.openxmlformats.org/officeDocument/2006/relationships/hyperlink" Target="http://promail.webgenerator.nl/t/r-l-jlirety-ittifhuiy-e/" TargetMode="External"/><Relationship Id="rId26" Type="http://schemas.openxmlformats.org/officeDocument/2006/relationships/hyperlink" Target="http://promail.webgenerator.nl/t/r-l-jlirety-ittifhuiy-jl/" TargetMode="External"/><Relationship Id="rId3" Type="http://schemas.openxmlformats.org/officeDocument/2006/relationships/settings" Target="settings.xml"/><Relationship Id="rId21" Type="http://schemas.openxmlformats.org/officeDocument/2006/relationships/hyperlink" Target="http://promail.webgenerator.nl/t/r-l-jlirety-ittifhuiy-w/" TargetMode="External"/><Relationship Id="rId7" Type="http://schemas.openxmlformats.org/officeDocument/2006/relationships/hyperlink" Target="http://promail.webgenerator.nl/t/r-l-jlirety-ittifhuiy-h/" TargetMode="External"/><Relationship Id="rId12" Type="http://schemas.openxmlformats.org/officeDocument/2006/relationships/hyperlink" Target="http://promail.webgenerator.nl/t/r-l-jlirety-ittifhuiy-c/" TargetMode="External"/><Relationship Id="rId17" Type="http://schemas.openxmlformats.org/officeDocument/2006/relationships/hyperlink" Target="http://promail.webgenerator.nl/t/r-l-jlirety-ittifhuiy-v/" TargetMode="External"/><Relationship Id="rId25" Type="http://schemas.openxmlformats.org/officeDocument/2006/relationships/hyperlink" Target="http://promail.webgenerator.nl/t/r-l-jlirety-ittifhuiy-yu/" TargetMode="External"/><Relationship Id="rId2" Type="http://schemas.openxmlformats.org/officeDocument/2006/relationships/styles" Target="styles.xml"/><Relationship Id="rId16" Type="http://schemas.openxmlformats.org/officeDocument/2006/relationships/hyperlink" Target="http://promail.webgenerator.nl/t/r-l-jlirety-ittifhuiy-z/" TargetMode="External"/><Relationship Id="rId20" Type="http://schemas.openxmlformats.org/officeDocument/2006/relationships/hyperlink" Target="http://promail.webgenerator.nl/t/r-l-jlirety-ittifhuiy-g/" TargetMode="External"/><Relationship Id="rId1" Type="http://schemas.openxmlformats.org/officeDocument/2006/relationships/numbering" Target="numbering.xml"/><Relationship Id="rId6" Type="http://schemas.openxmlformats.org/officeDocument/2006/relationships/hyperlink" Target="http://promail.webgenerator.nl/t/r-l-jlirety-ittifhuiy-d/" TargetMode="External"/><Relationship Id="rId11" Type="http://schemas.openxmlformats.org/officeDocument/2006/relationships/hyperlink" Target="http://promail.webgenerator.nl/t/r-l-jlirety-ittifhuiy-m/" TargetMode="External"/><Relationship Id="rId24" Type="http://schemas.openxmlformats.org/officeDocument/2006/relationships/hyperlink" Target="http://promail.webgenerator.nl/t/r-l-jlirety-ittifhuiy-yk/" TargetMode="External"/><Relationship Id="rId5" Type="http://schemas.openxmlformats.org/officeDocument/2006/relationships/image" Target="media/image1.jpeg"/><Relationship Id="rId15" Type="http://schemas.openxmlformats.org/officeDocument/2006/relationships/hyperlink" Target="http://promail.webgenerator.nl/t/r-l-jlirety-ittifhuiy-f/" TargetMode="External"/><Relationship Id="rId23" Type="http://schemas.openxmlformats.org/officeDocument/2006/relationships/hyperlink" Target="http://promail.webgenerator.nl/t/r-l-jlirety-ittifhuiy-yh/" TargetMode="External"/><Relationship Id="rId28" Type="http://schemas.openxmlformats.org/officeDocument/2006/relationships/theme" Target="theme/theme1.xml"/><Relationship Id="rId10" Type="http://schemas.openxmlformats.org/officeDocument/2006/relationships/hyperlink" Target="http://promail.webgenerator.nl/t/r-l-jlirety-ittifhuiy-x/" TargetMode="External"/><Relationship Id="rId19" Type="http://schemas.openxmlformats.org/officeDocument/2006/relationships/hyperlink" Target="http://promail.webgenerator.nl/t/r-l-jlirety-ittifhuiy-s/" TargetMode="External"/><Relationship Id="rId4" Type="http://schemas.openxmlformats.org/officeDocument/2006/relationships/webSettings" Target="webSettings.xml"/><Relationship Id="rId9" Type="http://schemas.openxmlformats.org/officeDocument/2006/relationships/hyperlink" Target="http://promail.webgenerator.nl/t/r-l-jlirety-ittifhuiy-p/" TargetMode="External"/><Relationship Id="rId14" Type="http://schemas.openxmlformats.org/officeDocument/2006/relationships/hyperlink" Target="http://promail.webgenerator.nl/t/r-l-jlirety-ittifhuiy-a/" TargetMode="External"/><Relationship Id="rId22" Type="http://schemas.openxmlformats.org/officeDocument/2006/relationships/hyperlink" Target="http://promail.webgenerator.nl/t/r-l-jlirety-ittifhuiy-yd/"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6373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Kruijf</dc:creator>
  <cp:keywords/>
  <dc:description/>
  <cp:lastModifiedBy>Jaap de Kruijf</cp:lastModifiedBy>
  <cp:revision>1</cp:revision>
  <dcterms:created xsi:type="dcterms:W3CDTF">2017-08-30T09:13:00Z</dcterms:created>
  <dcterms:modified xsi:type="dcterms:W3CDTF">2017-08-30T09:14:00Z</dcterms:modified>
</cp:coreProperties>
</file>