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46" w:rsidRDefault="00123A46" w:rsidP="00123A46"/>
    <w:tbl>
      <w:tblPr>
        <w:tblW w:w="5000" w:type="pct"/>
        <w:tblCellSpacing w:w="0" w:type="dxa"/>
        <w:shd w:val="clear" w:color="auto" w:fill="FAFAFA"/>
        <w:tblCellMar>
          <w:top w:w="262" w:type="dxa"/>
          <w:left w:w="262" w:type="dxa"/>
          <w:bottom w:w="262" w:type="dxa"/>
          <w:right w:w="262" w:type="dxa"/>
        </w:tblCellMar>
        <w:tblLook w:val="04A0" w:firstRow="1" w:lastRow="0" w:firstColumn="1" w:lastColumn="0" w:noHBand="0" w:noVBand="1"/>
      </w:tblPr>
      <w:tblGrid>
        <w:gridCol w:w="9072"/>
      </w:tblGrid>
      <w:tr w:rsidR="00123A46" w:rsidTr="00123A46">
        <w:trPr>
          <w:tblCellSpacing w:w="0" w:type="dxa"/>
        </w:trPr>
        <w:tc>
          <w:tcPr>
            <w:tcW w:w="0" w:type="auto"/>
            <w:shd w:val="clear" w:color="auto" w:fill="FAFAFA"/>
            <w:vAlign w:val="center"/>
          </w:tcPr>
          <w:p w:rsidR="00123A46" w:rsidRDefault="00123A46">
            <w:pPr>
              <w:jc w:val="center"/>
              <w:rPr>
                <w:rFonts w:eastAsia="Times New Roman"/>
              </w:rPr>
            </w:pPr>
            <w:bookmarkStart w:id="0" w:name="_GoBack"/>
            <w:bookmarkEnd w:id="0"/>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8548"/>
            </w:tblGrid>
            <w:tr w:rsidR="00123A46">
              <w:trPr>
                <w:tblCellSpacing w:w="0" w:type="dxa"/>
                <w:jc w:val="center"/>
              </w:trPr>
              <w:tc>
                <w:tcPr>
                  <w:tcW w:w="0" w:type="auto"/>
                  <w:shd w:val="clear" w:color="auto" w:fill="FFFFFF"/>
                  <w:vAlign w:val="center"/>
                  <w:hideMark/>
                </w:tcPr>
                <w:tbl>
                  <w:tblPr>
                    <w:tblW w:w="10500" w:type="dxa"/>
                    <w:tblCellSpacing w:w="0" w:type="dxa"/>
                    <w:tblCellMar>
                      <w:left w:w="0" w:type="dxa"/>
                      <w:right w:w="0" w:type="dxa"/>
                    </w:tblCellMar>
                    <w:tblLook w:val="04A0" w:firstRow="1" w:lastRow="0" w:firstColumn="1" w:lastColumn="0" w:noHBand="0" w:noVBand="1"/>
                  </w:tblPr>
                  <w:tblGrid>
                    <w:gridCol w:w="4274"/>
                    <w:gridCol w:w="4274"/>
                  </w:tblGrid>
                  <w:tr w:rsidR="00123A46">
                    <w:trPr>
                      <w:tblCellSpacing w:w="0" w:type="dxa"/>
                    </w:trPr>
                    <w:tc>
                      <w:tcPr>
                        <w:tcW w:w="0" w:type="auto"/>
                        <w:hideMark/>
                      </w:tcPr>
                      <w:p w:rsidR="00123A46" w:rsidRDefault="00123A46">
                        <w:pPr>
                          <w:rPr>
                            <w:rFonts w:eastAsia="Times New Roman"/>
                          </w:rPr>
                        </w:pPr>
                        <w:r>
                          <w:rPr>
                            <w:rFonts w:eastAsia="Times New Roman"/>
                            <w:noProof/>
                          </w:rPr>
                          <w:drawing>
                            <wp:inline distT="0" distB="0" distL="0" distR="0">
                              <wp:extent cx="3333115" cy="955675"/>
                              <wp:effectExtent l="0" t="0" r="635" b="0"/>
                              <wp:docPr id="5" name="Afbeelding 5" descr="http://www.interactis.info/vmbo-conferentie-2017/assets/images/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actis.info/vmbo-conferentie-2017/assets/images/fot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115" cy="955675"/>
                                      </a:xfrm>
                                      <a:prstGeom prst="rect">
                                        <a:avLst/>
                                      </a:prstGeom>
                                      <a:noFill/>
                                      <a:ln>
                                        <a:noFill/>
                                      </a:ln>
                                    </pic:spPr>
                                  </pic:pic>
                                </a:graphicData>
                              </a:graphic>
                            </wp:inline>
                          </w:drawing>
                        </w:r>
                      </w:p>
                    </w:tc>
                    <w:tc>
                      <w:tcPr>
                        <w:tcW w:w="0" w:type="auto"/>
                        <w:hideMark/>
                      </w:tcPr>
                      <w:p w:rsidR="00123A46" w:rsidRDefault="00123A46">
                        <w:pPr>
                          <w:rPr>
                            <w:rFonts w:eastAsia="Times New Roman"/>
                          </w:rPr>
                        </w:pPr>
                        <w:r>
                          <w:rPr>
                            <w:rFonts w:eastAsia="Times New Roman"/>
                            <w:noProof/>
                          </w:rPr>
                          <w:drawing>
                            <wp:inline distT="0" distB="0" distL="0" distR="0">
                              <wp:extent cx="3333115" cy="955675"/>
                              <wp:effectExtent l="0" t="0" r="635" b="0"/>
                              <wp:docPr id="4" name="Afbeelding 4" descr="http://www.interactis.info/vmbo-conferentie-2017/assets/images/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actis.info/vmbo-conferentie-2017/assets/images/fo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115" cy="955675"/>
                                      </a:xfrm>
                                      <a:prstGeom prst="rect">
                                        <a:avLst/>
                                      </a:prstGeom>
                                      <a:noFill/>
                                      <a:ln>
                                        <a:noFill/>
                                      </a:ln>
                                    </pic:spPr>
                                  </pic:pic>
                                </a:graphicData>
                              </a:graphic>
                            </wp:inline>
                          </w:drawing>
                        </w:r>
                      </w:p>
                    </w:tc>
                  </w:tr>
                </w:tbl>
                <w:p w:rsidR="00123A46" w:rsidRDefault="00123A46">
                  <w:pPr>
                    <w:rPr>
                      <w:rFonts w:eastAsia="Times New Roman"/>
                      <w:sz w:val="20"/>
                      <w:szCs w:val="20"/>
                    </w:rPr>
                  </w:pPr>
                </w:p>
              </w:tc>
            </w:tr>
            <w:tr w:rsidR="00123A46">
              <w:trPr>
                <w:tblCellSpacing w:w="0" w:type="dxa"/>
                <w:jc w:val="center"/>
              </w:trPr>
              <w:tc>
                <w:tcPr>
                  <w:tcW w:w="0" w:type="auto"/>
                  <w:shd w:val="clear" w:color="auto" w:fill="FFFFFF"/>
                  <w:vAlign w:val="center"/>
                  <w:hideMark/>
                </w:tcPr>
                <w:p w:rsidR="00123A46" w:rsidRDefault="00123A46">
                  <w:pPr>
                    <w:rPr>
                      <w:rFonts w:eastAsia="Times New Roman"/>
                    </w:rPr>
                  </w:pPr>
                  <w:r>
                    <w:rPr>
                      <w:rFonts w:eastAsia="Times New Roman"/>
                      <w:noProof/>
                    </w:rPr>
                    <w:drawing>
                      <wp:inline distT="0" distB="0" distL="0" distR="0">
                        <wp:extent cx="6666865" cy="1430020"/>
                        <wp:effectExtent l="0" t="0" r="635" b="0"/>
                        <wp:docPr id="3" name="Afbeelding 3" descr="http://www.interactis.info/vmbo-conferentie-2017/assets/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actis.info/vmbo-conferentie-2017/assets/images/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1430020"/>
                                </a:xfrm>
                                <a:prstGeom prst="rect">
                                  <a:avLst/>
                                </a:prstGeom>
                                <a:noFill/>
                                <a:ln>
                                  <a:noFill/>
                                </a:ln>
                              </pic:spPr>
                            </pic:pic>
                          </a:graphicData>
                        </a:graphic>
                      </wp:inline>
                    </w:drawing>
                  </w:r>
                </w:p>
              </w:tc>
            </w:tr>
            <w:tr w:rsidR="00123A46">
              <w:trPr>
                <w:tblCellSpacing w:w="0" w:type="dxa"/>
                <w:jc w:val="center"/>
              </w:trPr>
              <w:tc>
                <w:tcPr>
                  <w:tcW w:w="0" w:type="auto"/>
                  <w:shd w:val="clear" w:color="auto" w:fill="FFFFFF"/>
                  <w:vAlign w:val="center"/>
                  <w:hideMark/>
                </w:tcPr>
                <w:tbl>
                  <w:tblPr>
                    <w:tblW w:w="10500" w:type="dxa"/>
                    <w:tblCellSpacing w:w="0" w:type="dxa"/>
                    <w:tblCellMar>
                      <w:top w:w="262" w:type="dxa"/>
                      <w:left w:w="262" w:type="dxa"/>
                      <w:bottom w:w="262" w:type="dxa"/>
                      <w:right w:w="262" w:type="dxa"/>
                    </w:tblCellMar>
                    <w:tblLook w:val="04A0" w:firstRow="1" w:lastRow="0" w:firstColumn="1" w:lastColumn="0" w:noHBand="0" w:noVBand="1"/>
                  </w:tblPr>
                  <w:tblGrid>
                    <w:gridCol w:w="10500"/>
                  </w:tblGrid>
                  <w:tr w:rsidR="00123A46">
                    <w:trPr>
                      <w:tblCellSpacing w:w="0" w:type="dxa"/>
                    </w:trPr>
                    <w:tc>
                      <w:tcPr>
                        <w:tcW w:w="0" w:type="auto"/>
                        <w:hideMark/>
                      </w:tcPr>
                      <w:p w:rsidR="00123A46" w:rsidRDefault="00123A46">
                        <w:pPr>
                          <w:pStyle w:val="Normaalweb"/>
                          <w:spacing w:line="360" w:lineRule="atLeast"/>
                          <w:rPr>
                            <w:rFonts w:ascii="Arial" w:hAnsi="Arial" w:cs="Arial"/>
                            <w:color w:val="333333"/>
                            <w:sz w:val="21"/>
                            <w:szCs w:val="21"/>
                          </w:rPr>
                        </w:pPr>
                        <w:r>
                          <w:rPr>
                            <w:rFonts w:ascii="Arial" w:hAnsi="Arial" w:cs="Arial"/>
                            <w:color w:val="333333"/>
                            <w:sz w:val="21"/>
                            <w:szCs w:val="21"/>
                          </w:rPr>
                          <w:t xml:space="preserve">Op 14 februari 2017 organiseert </w:t>
                        </w:r>
                        <w:proofErr w:type="spellStart"/>
                        <w:r>
                          <w:rPr>
                            <w:rStyle w:val="Zwaar"/>
                            <w:rFonts w:ascii="Arial" w:hAnsi="Arial" w:cs="Arial"/>
                            <w:color w:val="333333"/>
                            <w:sz w:val="21"/>
                            <w:szCs w:val="21"/>
                          </w:rPr>
                          <w:t>Sardes</w:t>
                        </w:r>
                        <w:proofErr w:type="spellEnd"/>
                        <w:r>
                          <w:rPr>
                            <w:rFonts w:ascii="Arial" w:hAnsi="Arial" w:cs="Arial"/>
                            <w:color w:val="333333"/>
                            <w:sz w:val="21"/>
                            <w:szCs w:val="21"/>
                          </w:rPr>
                          <w:t xml:space="preserve"> in samenwerking met de </w:t>
                        </w:r>
                        <w:r>
                          <w:rPr>
                            <w:rStyle w:val="Zwaar"/>
                            <w:rFonts w:ascii="Arial" w:hAnsi="Arial" w:cs="Arial"/>
                            <w:color w:val="333333"/>
                            <w:sz w:val="21"/>
                            <w:szCs w:val="21"/>
                          </w:rPr>
                          <w:t>VO-raad, Platform TL én Stichting Platforms VMBO</w:t>
                        </w:r>
                        <w:r>
                          <w:rPr>
                            <w:rFonts w:ascii="Arial" w:hAnsi="Arial" w:cs="Arial"/>
                            <w:color w:val="333333"/>
                            <w:sz w:val="21"/>
                            <w:szCs w:val="21"/>
                          </w:rPr>
                          <w:t xml:space="preserve"> opnieuw dit jaarlijks terugkerende vmbo-congres. Naast het plenaire deel wordt in maar liefst 16 deelsessies een diversiteit aan ontwikkelingen in het vmbo besproken. Bijvoorbeeld nieuwe profielen, loopbaanoriëntatie, tweetalig onderwijs, informatietechnologie (ITTL), nieuwe examens, etc. Maar bijvoorbeeld komt ook het differentiëren in de superdiverse praktijk van het vmbo, uitgebreid aan bod.</w:t>
                        </w:r>
                      </w:p>
                      <w:p w:rsidR="00123A46" w:rsidRDefault="00123A46">
                        <w:pPr>
                          <w:pStyle w:val="Normaalweb"/>
                          <w:spacing w:line="360" w:lineRule="atLeast"/>
                          <w:rPr>
                            <w:rFonts w:ascii="Arial" w:hAnsi="Arial" w:cs="Arial"/>
                            <w:color w:val="333333"/>
                            <w:sz w:val="21"/>
                            <w:szCs w:val="21"/>
                          </w:rPr>
                        </w:pPr>
                        <w:r>
                          <w:rPr>
                            <w:rFonts w:ascii="Arial" w:hAnsi="Arial" w:cs="Arial"/>
                            <w:color w:val="333333"/>
                            <w:sz w:val="21"/>
                            <w:szCs w:val="21"/>
                          </w:rPr>
                          <w:t xml:space="preserve">Inspirerende gastsprekers uit de onderwijspraktijk, wetenschap en politiek gaan met elkaar in discussie. Denk en doe mee. Inspireer elkaar en spreek u uit over úw vmbo van de toekomst! </w:t>
                        </w:r>
                      </w:p>
                      <w:p w:rsidR="00123A46" w:rsidRDefault="00123A46">
                        <w:pPr>
                          <w:pStyle w:val="Normaalweb"/>
                          <w:spacing w:line="315" w:lineRule="atLeast"/>
                          <w:jc w:val="center"/>
                          <w:rPr>
                            <w:rFonts w:ascii="Arial" w:hAnsi="Arial" w:cs="Arial"/>
                            <w:color w:val="0C1D5B"/>
                          </w:rPr>
                        </w:pPr>
                        <w:hyperlink r:id="rId7" w:history="1">
                          <w:r>
                            <w:rPr>
                              <w:rStyle w:val="Hyperlink"/>
                              <w:rFonts w:ascii="Arial" w:hAnsi="Arial" w:cs="Arial"/>
                              <w:b/>
                              <w:bCs/>
                              <w:color w:val="FFFFFF"/>
                              <w:shd w:val="clear" w:color="auto" w:fill="7C1272"/>
                            </w:rPr>
                            <w:t>Informatie &amp; Inschrijven</w:t>
                          </w:r>
                        </w:hyperlink>
                        <w:r>
                          <w:rPr>
                            <w:rFonts w:ascii="Arial" w:hAnsi="Arial" w:cs="Arial"/>
                            <w:color w:val="0C1D5B"/>
                          </w:rPr>
                          <w:t xml:space="preserve"> </w:t>
                        </w:r>
                      </w:p>
                    </w:tc>
                  </w:tr>
                </w:tbl>
                <w:p w:rsidR="00123A46" w:rsidRDefault="00123A46">
                  <w:pPr>
                    <w:rPr>
                      <w:rFonts w:eastAsia="Times New Roman"/>
                      <w:sz w:val="20"/>
                      <w:szCs w:val="20"/>
                    </w:rPr>
                  </w:pPr>
                </w:p>
              </w:tc>
            </w:tr>
            <w:tr w:rsidR="00123A46">
              <w:trPr>
                <w:tblCellSpacing w:w="0" w:type="dxa"/>
                <w:jc w:val="center"/>
              </w:trPr>
              <w:tc>
                <w:tcPr>
                  <w:tcW w:w="0" w:type="auto"/>
                  <w:shd w:val="clear" w:color="auto" w:fill="FFFFFF"/>
                  <w:vAlign w:val="center"/>
                  <w:hideMark/>
                </w:tcPr>
                <w:tbl>
                  <w:tblPr>
                    <w:tblW w:w="10500" w:type="dxa"/>
                    <w:tblCellSpacing w:w="0" w:type="dxa"/>
                    <w:tblCellMar>
                      <w:left w:w="0" w:type="dxa"/>
                      <w:right w:w="0" w:type="dxa"/>
                    </w:tblCellMar>
                    <w:tblLook w:val="04A0" w:firstRow="1" w:lastRow="0" w:firstColumn="1" w:lastColumn="0" w:noHBand="0" w:noVBand="1"/>
                  </w:tblPr>
                  <w:tblGrid>
                    <w:gridCol w:w="4274"/>
                    <w:gridCol w:w="4274"/>
                  </w:tblGrid>
                  <w:tr w:rsidR="00123A46">
                    <w:trPr>
                      <w:tblCellSpacing w:w="0" w:type="dxa"/>
                    </w:trPr>
                    <w:tc>
                      <w:tcPr>
                        <w:tcW w:w="0" w:type="auto"/>
                        <w:hideMark/>
                      </w:tcPr>
                      <w:p w:rsidR="00123A46" w:rsidRDefault="00123A46">
                        <w:pPr>
                          <w:rPr>
                            <w:rFonts w:eastAsia="Times New Roman"/>
                          </w:rPr>
                        </w:pPr>
                        <w:r>
                          <w:rPr>
                            <w:rFonts w:eastAsia="Times New Roman"/>
                            <w:noProof/>
                          </w:rPr>
                          <w:drawing>
                            <wp:inline distT="0" distB="0" distL="0" distR="0">
                              <wp:extent cx="3333115" cy="955675"/>
                              <wp:effectExtent l="0" t="0" r="635" b="0"/>
                              <wp:docPr id="2" name="Afbeelding 2" descr="http://www.interactis.info/vmbo-conferentie-2017/assets/images/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actis.info/vmbo-conferentie-2017/assets/images/fot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115" cy="955675"/>
                                      </a:xfrm>
                                      <a:prstGeom prst="rect">
                                        <a:avLst/>
                                      </a:prstGeom>
                                      <a:noFill/>
                                      <a:ln>
                                        <a:noFill/>
                                      </a:ln>
                                    </pic:spPr>
                                  </pic:pic>
                                </a:graphicData>
                              </a:graphic>
                            </wp:inline>
                          </w:drawing>
                        </w:r>
                      </w:p>
                    </w:tc>
                    <w:tc>
                      <w:tcPr>
                        <w:tcW w:w="0" w:type="auto"/>
                        <w:hideMark/>
                      </w:tcPr>
                      <w:p w:rsidR="00123A46" w:rsidRDefault="00123A46">
                        <w:pPr>
                          <w:rPr>
                            <w:rFonts w:eastAsia="Times New Roman"/>
                          </w:rPr>
                        </w:pPr>
                        <w:r>
                          <w:rPr>
                            <w:rFonts w:eastAsia="Times New Roman"/>
                            <w:noProof/>
                          </w:rPr>
                          <w:drawing>
                            <wp:inline distT="0" distB="0" distL="0" distR="0">
                              <wp:extent cx="3333115" cy="955675"/>
                              <wp:effectExtent l="0" t="0" r="635" b="0"/>
                              <wp:docPr id="1" name="Afbeelding 1" descr="http://www.interactis.info/vmbo-conferentie-2017/assets/images/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actis.info/vmbo-conferentie-2017/assets/images/foto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115" cy="955675"/>
                                      </a:xfrm>
                                      <a:prstGeom prst="rect">
                                        <a:avLst/>
                                      </a:prstGeom>
                                      <a:noFill/>
                                      <a:ln>
                                        <a:noFill/>
                                      </a:ln>
                                    </pic:spPr>
                                  </pic:pic>
                                </a:graphicData>
                              </a:graphic>
                            </wp:inline>
                          </w:drawing>
                        </w:r>
                      </w:p>
                    </w:tc>
                  </w:tr>
                </w:tbl>
                <w:p w:rsidR="00123A46" w:rsidRDefault="00123A46">
                  <w:pPr>
                    <w:rPr>
                      <w:rFonts w:eastAsia="Times New Roman"/>
                      <w:sz w:val="20"/>
                      <w:szCs w:val="20"/>
                    </w:rPr>
                  </w:pPr>
                </w:p>
              </w:tc>
            </w:tr>
          </w:tbl>
          <w:p w:rsidR="00123A46" w:rsidRDefault="00123A46">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46"/>
    <w:rsid w:val="00123A46"/>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78F5-2585-4E64-A86D-1A90B281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3A46"/>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23A46"/>
    <w:rPr>
      <w:color w:val="0000FF"/>
      <w:u w:val="single"/>
    </w:rPr>
  </w:style>
  <w:style w:type="paragraph" w:styleId="Normaalweb">
    <w:name w:val="Normal (Web)"/>
    <w:basedOn w:val="Standaard"/>
    <w:uiPriority w:val="99"/>
    <w:semiHidden/>
    <w:unhideWhenUsed/>
    <w:rsid w:val="00123A46"/>
    <w:pPr>
      <w:spacing w:before="100" w:beforeAutospacing="1" w:after="100" w:afterAutospacing="1"/>
    </w:pPr>
  </w:style>
  <w:style w:type="character" w:styleId="Zwaar">
    <w:name w:val="Strong"/>
    <w:basedOn w:val="Standaardalinea-lettertype"/>
    <w:uiPriority w:val="22"/>
    <w:qFormat/>
    <w:rsid w:val="00123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ardes.nl/C101-S81-De-nieuwe-vmbo-conferent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2016-11-16T12:06:00Z</dcterms:created>
  <dcterms:modified xsi:type="dcterms:W3CDTF">2016-11-16T12:07:00Z</dcterms:modified>
</cp:coreProperties>
</file>